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5C" w:rsidRDefault="00FE6188" w:rsidP="00FE6188">
      <w:pPr>
        <w:spacing w:after="0" w:line="240" w:lineRule="auto"/>
        <w:jc w:val="center"/>
        <w:rPr>
          <w:b/>
        </w:rPr>
      </w:pPr>
      <w:r w:rsidRPr="00FE6188">
        <w:rPr>
          <w:b/>
        </w:rPr>
        <w:t xml:space="preserve">ПОЯСНИТЕЛЬНАЯ ЗАПИСКА </w:t>
      </w:r>
    </w:p>
    <w:p w:rsidR="00FE6188" w:rsidRDefault="00FE6188" w:rsidP="00FE6188">
      <w:pPr>
        <w:spacing w:after="0" w:line="240" w:lineRule="auto"/>
        <w:jc w:val="center"/>
        <w:rPr>
          <w:b/>
        </w:rPr>
      </w:pPr>
      <w:r>
        <w:rPr>
          <w:b/>
        </w:rPr>
        <w:t xml:space="preserve">к проекту закона Ульяновской области </w:t>
      </w:r>
    </w:p>
    <w:p w:rsidR="00FE6188" w:rsidRDefault="009B5D6D" w:rsidP="00B527E2">
      <w:pPr>
        <w:spacing w:after="0" w:line="240" w:lineRule="auto"/>
        <w:jc w:val="center"/>
        <w:rPr>
          <w:b/>
        </w:rPr>
      </w:pPr>
      <w:r w:rsidRPr="009B5D6D">
        <w:rPr>
          <w:b/>
        </w:rPr>
        <w:t>«</w:t>
      </w:r>
      <w:r w:rsidR="00B527E2" w:rsidRPr="00B527E2">
        <w:rPr>
          <w:b/>
        </w:rPr>
        <w:t xml:space="preserve">О внесении изменений в отдельные законодательные акты </w:t>
      </w:r>
      <w:r w:rsidR="00237CF8">
        <w:rPr>
          <w:b/>
        </w:rPr>
        <w:br/>
      </w:r>
      <w:r w:rsidR="006B2964">
        <w:rPr>
          <w:b/>
        </w:rPr>
        <w:t>Ульяновской области</w:t>
      </w:r>
      <w:r w:rsidRPr="009B5D6D">
        <w:rPr>
          <w:b/>
        </w:rPr>
        <w:t>»</w:t>
      </w:r>
    </w:p>
    <w:p w:rsidR="009B5D6D" w:rsidRDefault="009B5D6D" w:rsidP="009B5D6D">
      <w:pPr>
        <w:spacing w:after="0" w:line="240" w:lineRule="auto"/>
        <w:jc w:val="center"/>
        <w:rPr>
          <w:b/>
        </w:rPr>
      </w:pPr>
    </w:p>
    <w:p w:rsidR="00FE6188" w:rsidRDefault="00FE6188">
      <w:pPr>
        <w:spacing w:after="0" w:line="240" w:lineRule="auto"/>
        <w:jc w:val="center"/>
        <w:rPr>
          <w:b/>
        </w:rPr>
      </w:pPr>
    </w:p>
    <w:p w:rsidR="00962274" w:rsidRDefault="00FE6188" w:rsidP="006B2964">
      <w:pPr>
        <w:spacing w:after="0" w:line="360" w:lineRule="auto"/>
        <w:jc w:val="both"/>
      </w:pPr>
      <w:r w:rsidRPr="00FE6188">
        <w:tab/>
        <w:t xml:space="preserve">Настоящий законопроект разработан </w:t>
      </w:r>
      <w:r w:rsidR="00962274">
        <w:t>с</w:t>
      </w:r>
      <w:r>
        <w:t xml:space="preserve"> цел</w:t>
      </w:r>
      <w:r w:rsidR="00962274">
        <w:t xml:space="preserve">ью повышения эффективности региональной системы мер социальной </w:t>
      </w:r>
      <w:r w:rsidR="00B413B4">
        <w:t>поддержки, повышения адресности</w:t>
      </w:r>
      <w:r w:rsidR="00F37368">
        <w:t>,  предусматривает пересмотр и уточнение условий предоставления отдельных мер социальной поддержки, увеличение размеров отдельных денежных выплат</w:t>
      </w:r>
      <w:r w:rsidR="00962274">
        <w:t xml:space="preserve">.  </w:t>
      </w:r>
    </w:p>
    <w:p w:rsidR="00FE6188" w:rsidRDefault="00FE6188" w:rsidP="006B2964">
      <w:pPr>
        <w:spacing w:after="0" w:line="360" w:lineRule="auto"/>
        <w:jc w:val="both"/>
      </w:pPr>
      <w:r>
        <w:t xml:space="preserve"> </w:t>
      </w:r>
      <w:r w:rsidR="00962274">
        <w:tab/>
        <w:t>П</w:t>
      </w:r>
      <w:r w:rsidRPr="00110E9E">
        <w:t xml:space="preserve">редметом правового регулирования законопроекта являются общественные отношения, связанные с предоставлением мер социальной </w:t>
      </w:r>
      <w:r>
        <w:t>поддержки.</w:t>
      </w:r>
    </w:p>
    <w:p w:rsidR="00F37368" w:rsidRDefault="00F37368" w:rsidP="00F37368">
      <w:pPr>
        <w:spacing w:after="0" w:line="360" w:lineRule="auto"/>
        <w:ind w:firstLine="708"/>
        <w:jc w:val="both"/>
      </w:pPr>
      <w:r>
        <w:t>Законопроектом вносятся изменения:</w:t>
      </w:r>
    </w:p>
    <w:p w:rsidR="000856A6" w:rsidRDefault="00B56822" w:rsidP="00F37368">
      <w:pPr>
        <w:pStyle w:val="a3"/>
        <w:numPr>
          <w:ilvl w:val="0"/>
          <w:numId w:val="4"/>
        </w:numPr>
        <w:tabs>
          <w:tab w:val="left" w:pos="-1276"/>
          <w:tab w:val="left" w:pos="0"/>
          <w:tab w:val="left" w:pos="1134"/>
        </w:tabs>
        <w:spacing w:after="0" w:line="360" w:lineRule="auto"/>
        <w:ind w:left="0" w:firstLine="708"/>
        <w:jc w:val="both"/>
      </w:pPr>
      <w:r>
        <w:t xml:space="preserve">в Закон Ульяновской области от 4 ноября 2003 года № 056-ЗО </w:t>
      </w:r>
      <w:r w:rsidR="00F37368">
        <w:br/>
      </w:r>
      <w:r>
        <w:t xml:space="preserve">«О социальной поддержке инвалидов боевых действий, проживающих </w:t>
      </w:r>
      <w:r w:rsidR="00F37368">
        <w:br/>
      </w:r>
      <w:r>
        <w:t>на территории Ульяновской области»</w:t>
      </w:r>
      <w:r w:rsidR="00F37368">
        <w:t xml:space="preserve">. </w:t>
      </w:r>
    </w:p>
    <w:p w:rsidR="00BE5F8E" w:rsidRDefault="00F37368" w:rsidP="000856A6">
      <w:pPr>
        <w:pStyle w:val="a3"/>
        <w:tabs>
          <w:tab w:val="left" w:pos="-1276"/>
          <w:tab w:val="left" w:pos="0"/>
          <w:tab w:val="left" w:pos="1134"/>
        </w:tabs>
        <w:spacing w:after="0" w:line="360" w:lineRule="auto"/>
        <w:ind w:left="0" w:firstLine="708"/>
        <w:jc w:val="both"/>
      </w:pPr>
      <w:r>
        <w:t xml:space="preserve">Учитывая </w:t>
      </w:r>
      <w:r w:rsidR="004B6EE4">
        <w:t>значение</w:t>
      </w:r>
      <w:r>
        <w:t xml:space="preserve"> </w:t>
      </w:r>
      <w:r w:rsidR="004B6EE4">
        <w:t>поддержки</w:t>
      </w:r>
      <w:r w:rsidR="000856A6">
        <w:t xml:space="preserve"> граждан – инвалидов боевых действий</w:t>
      </w:r>
      <w:r>
        <w:t xml:space="preserve">, </w:t>
      </w:r>
      <w:r w:rsidR="008754D8">
        <w:br/>
      </w:r>
      <w:r w:rsidR="000856A6">
        <w:t xml:space="preserve">и невысокий размер ежемесячного пособия, предоставляемого таким гражданам за счёт средств областного бюджета Ульяновской области, </w:t>
      </w:r>
      <w:r w:rsidR="00B56822">
        <w:t>предусматривает</w:t>
      </w:r>
      <w:r w:rsidR="000856A6">
        <w:t>ся</w:t>
      </w:r>
      <w:r w:rsidR="00B56822">
        <w:t xml:space="preserve"> </w:t>
      </w:r>
      <w:r w:rsidR="00683BC8">
        <w:t xml:space="preserve">увеличение </w:t>
      </w:r>
      <w:r w:rsidR="00B56822">
        <w:t xml:space="preserve">размера ежемесячного денежного пособия инвалидам боевых действий </w:t>
      </w:r>
      <w:r w:rsidR="00B56822" w:rsidRPr="00F37368">
        <w:rPr>
          <w:lang w:val="en-US"/>
        </w:rPr>
        <w:t>I</w:t>
      </w:r>
      <w:r w:rsidR="00B56822" w:rsidRPr="0013371B">
        <w:t xml:space="preserve"> </w:t>
      </w:r>
      <w:r w:rsidR="00B56822">
        <w:t>и</w:t>
      </w:r>
      <w:r w:rsidR="00B56822" w:rsidRPr="0013371B">
        <w:t xml:space="preserve"> </w:t>
      </w:r>
      <w:r w:rsidR="00B56822" w:rsidRPr="00F37368">
        <w:rPr>
          <w:lang w:val="en-US"/>
        </w:rPr>
        <w:t>II</w:t>
      </w:r>
      <w:r w:rsidR="00B56822" w:rsidRPr="0013371B">
        <w:t xml:space="preserve"> </w:t>
      </w:r>
      <w:r w:rsidR="00B56822">
        <w:t>группы</w:t>
      </w:r>
      <w:r w:rsidR="00683BC8">
        <w:t xml:space="preserve"> с 1000 рублей до 5000 рублей.</w:t>
      </w:r>
      <w:r w:rsidR="00DA08A4">
        <w:t xml:space="preserve"> </w:t>
      </w:r>
    </w:p>
    <w:p w:rsidR="00F37368" w:rsidRPr="00BD288D" w:rsidRDefault="0013371B" w:rsidP="006B2964">
      <w:pPr>
        <w:tabs>
          <w:tab w:val="left" w:pos="1134"/>
        </w:tabs>
        <w:spacing w:after="0" w:line="360" w:lineRule="auto"/>
        <w:jc w:val="both"/>
      </w:pPr>
      <w:r w:rsidRPr="00BD288D">
        <w:t xml:space="preserve">         </w:t>
      </w:r>
      <w:r w:rsidR="00DA08A4" w:rsidRPr="00BD288D">
        <w:t xml:space="preserve">Получателями ежемесячного денежного пособия </w:t>
      </w:r>
      <w:r w:rsidR="009A03DB" w:rsidRPr="00BD288D">
        <w:t>на 01.10.2022</w:t>
      </w:r>
      <w:r w:rsidR="000856A6">
        <w:t xml:space="preserve"> года является</w:t>
      </w:r>
      <w:r w:rsidR="004E50B5" w:rsidRPr="00BD288D">
        <w:t xml:space="preserve"> 7</w:t>
      </w:r>
      <w:r w:rsidR="001860DE" w:rsidRPr="00BD288D">
        <w:t>5</w:t>
      </w:r>
      <w:r w:rsidR="004E50B5" w:rsidRPr="00BD288D">
        <w:t xml:space="preserve"> </w:t>
      </w:r>
      <w:r w:rsidR="003D4728" w:rsidRPr="00BD288D">
        <w:t>человек</w:t>
      </w:r>
      <w:r w:rsidR="000856A6">
        <w:t>;</w:t>
      </w:r>
    </w:p>
    <w:p w:rsidR="000856A6" w:rsidRPr="0017128F" w:rsidRDefault="002D4851" w:rsidP="00782899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8"/>
        <w:jc w:val="both"/>
      </w:pPr>
      <w:r w:rsidRPr="0017128F">
        <w:t xml:space="preserve">в Закон Ульяновской области от 30 декабря 2005 года № 167-ЗО </w:t>
      </w:r>
      <w:r w:rsidR="000856A6" w:rsidRPr="0017128F">
        <w:br/>
      </w:r>
      <w:r w:rsidRPr="0017128F">
        <w:t>«</w:t>
      </w:r>
      <w:r w:rsidR="00782899" w:rsidRPr="00782899">
        <w:t>О мерах социальной поддержки педагогических и некоторых других категорий работников образовательных организаций, работающих и (или) проживающих в сельских населённых пунктах, рабочих посёлках (посёлках городского типа) на территории Ульяновской области</w:t>
      </w:r>
      <w:r w:rsidRPr="0017128F">
        <w:t>»</w:t>
      </w:r>
      <w:r w:rsidR="000856A6" w:rsidRPr="0017128F">
        <w:t>.</w:t>
      </w:r>
      <w:r w:rsidRPr="0017128F">
        <w:t xml:space="preserve"> </w:t>
      </w:r>
    </w:p>
    <w:p w:rsidR="00D82A11" w:rsidRPr="003B33B6" w:rsidRDefault="000856A6" w:rsidP="000856A6">
      <w:pPr>
        <w:tabs>
          <w:tab w:val="left" w:pos="1134"/>
        </w:tabs>
        <w:spacing w:after="0" w:line="360" w:lineRule="auto"/>
        <w:ind w:firstLine="708"/>
        <w:jc w:val="both"/>
      </w:pPr>
      <w:r w:rsidRPr="003B33B6">
        <w:t>Действующая редакция Закона не содержит ограничений</w:t>
      </w:r>
      <w:r w:rsidR="003448AA" w:rsidRPr="003B33B6">
        <w:t xml:space="preserve"> на величину  ежемесячной денежной компенсации расходов на оплату жилого помещения, отопления и освещения</w:t>
      </w:r>
      <w:r w:rsidRPr="003B33B6">
        <w:t xml:space="preserve">, что </w:t>
      </w:r>
      <w:r w:rsidR="00FC07E7" w:rsidRPr="003B33B6">
        <w:t xml:space="preserve">в свою очередь не позволяет осуществлять </w:t>
      </w:r>
      <w:r w:rsidR="00FC07E7" w:rsidRPr="003B33B6">
        <w:lastRenderedPageBreak/>
        <w:t>качественное бюджетное планирование</w:t>
      </w:r>
      <w:r w:rsidR="003448AA" w:rsidRPr="003B33B6">
        <w:t>,</w:t>
      </w:r>
      <w:r w:rsidR="00FC07E7" w:rsidRPr="003B33B6">
        <w:t xml:space="preserve"> ставит гражда</w:t>
      </w:r>
      <w:r w:rsidR="00D82A11" w:rsidRPr="003B33B6">
        <w:t xml:space="preserve">н в неравные условия, когда </w:t>
      </w:r>
      <w:proofErr w:type="gramStart"/>
      <w:r w:rsidR="00D82A11" w:rsidRPr="003B33B6">
        <w:t>гражданин</w:t>
      </w:r>
      <w:proofErr w:type="gramEnd"/>
      <w:r w:rsidR="00D82A11" w:rsidRPr="003B33B6">
        <w:t xml:space="preserve"> потребляющий больший коммунальный ресурс получает </w:t>
      </w:r>
      <w:r w:rsidR="008754D8">
        <w:br/>
      </w:r>
      <w:r w:rsidR="00D82A11" w:rsidRPr="003B33B6">
        <w:t>и большую компенсацию</w:t>
      </w:r>
      <w:r w:rsidR="00FC07E7" w:rsidRPr="003B33B6">
        <w:t>, а также создаёт условия для злоупотребления правом</w:t>
      </w:r>
      <w:r w:rsidR="003448AA" w:rsidRPr="003B33B6">
        <w:t>.</w:t>
      </w:r>
      <w:r w:rsidR="00FC07E7" w:rsidRPr="003B33B6">
        <w:t xml:space="preserve"> </w:t>
      </w:r>
    </w:p>
    <w:p w:rsidR="00D82A11" w:rsidRPr="003B33B6" w:rsidRDefault="00D82A11" w:rsidP="00D82A11">
      <w:pPr>
        <w:spacing w:after="0" w:line="360" w:lineRule="auto"/>
        <w:ind w:firstLine="709"/>
        <w:jc w:val="both"/>
      </w:pPr>
      <w:r w:rsidRPr="003B33B6">
        <w:t xml:space="preserve">В настоящее время на территории Ульяновской области ежемесячная денежная компенсация расходов на оплату жилых помещений, отопления </w:t>
      </w:r>
      <w:r w:rsidR="008754D8">
        <w:br/>
      </w:r>
      <w:r w:rsidRPr="003B33B6">
        <w:t xml:space="preserve">и освещения (далее – ЕДК), педагогическим работникам сельской местности предоставляется в размере 100% фактических расходов. </w:t>
      </w:r>
    </w:p>
    <w:p w:rsidR="00D82A11" w:rsidRDefault="00D82A11" w:rsidP="00D82A11">
      <w:pPr>
        <w:spacing w:after="0" w:line="360" w:lineRule="auto"/>
        <w:ind w:firstLine="709"/>
        <w:jc w:val="both"/>
      </w:pPr>
      <w:r w:rsidRPr="003B33B6">
        <w:t>Проведённый анализ размеров ЕДК, предоставленных педагогическим работникам сельской местности в 2021 году показал, что есть основание полагать о злоупотреблении части педагогических работников сельской местности правом на получение ЕДК, так как у ряда получателей годовой размер выплат превышает 100 и более тыс. рублей.</w:t>
      </w:r>
    </w:p>
    <w:p w:rsidR="008754D8" w:rsidRPr="008754D8" w:rsidRDefault="008754D8" w:rsidP="00D82A11">
      <w:pPr>
        <w:spacing w:after="0" w:line="360" w:lineRule="auto"/>
        <w:ind w:firstLine="709"/>
        <w:jc w:val="both"/>
        <w:rPr>
          <w:sz w:val="16"/>
          <w:szCs w:val="16"/>
        </w:rPr>
      </w:pP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4100"/>
        <w:gridCol w:w="2268"/>
        <w:gridCol w:w="2420"/>
      </w:tblGrid>
      <w:tr w:rsidR="00E650EC" w:rsidRPr="00E650EC" w:rsidTr="008754D8">
        <w:trPr>
          <w:trHeight w:val="629"/>
        </w:trPr>
        <w:tc>
          <w:tcPr>
            <w:tcW w:w="724" w:type="dxa"/>
            <w:shd w:val="clear" w:color="auto" w:fill="auto"/>
            <w:vAlign w:val="center"/>
            <w:hideMark/>
          </w:tcPr>
          <w:p w:rsidR="000B5239" w:rsidRPr="00E650EC" w:rsidRDefault="000B5239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 xml:space="preserve">№ </w:t>
            </w:r>
            <w:proofErr w:type="gramStart"/>
            <w:r w:rsidRPr="00E650EC">
              <w:rPr>
                <w:rFonts w:eastAsia="Times New Roman" w:cs="Calibri"/>
                <w:lang w:eastAsia="ru-RU"/>
              </w:rPr>
              <w:t>п</w:t>
            </w:r>
            <w:proofErr w:type="gramEnd"/>
            <w:r w:rsidRPr="00E650EC">
              <w:rPr>
                <w:rFonts w:eastAsia="Times New Roman" w:cs="Calibri"/>
                <w:lang w:eastAsia="ru-RU"/>
              </w:rPr>
              <w:t>/п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B5239" w:rsidRPr="00E650EC" w:rsidRDefault="000B5239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Годовая сумма выплат за ЖКУ (2021)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Количество</w:t>
            </w:r>
          </w:p>
          <w:p w:rsidR="000B5239" w:rsidRPr="00E650EC" w:rsidRDefault="000B5239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получателей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0B5239" w:rsidRPr="00E650EC" w:rsidRDefault="000B5239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proofErr w:type="gramStart"/>
            <w:r w:rsidRPr="00E650EC">
              <w:rPr>
                <w:rFonts w:eastAsia="Times New Roman" w:cs="Calibri"/>
                <w:lang w:eastAsia="ru-RU"/>
              </w:rPr>
              <w:t>В</w:t>
            </w:r>
            <w:proofErr w:type="gramEnd"/>
            <w:r w:rsidRPr="00E650EC">
              <w:rPr>
                <w:rFonts w:eastAsia="Times New Roman" w:cs="Calibri"/>
                <w:lang w:eastAsia="ru-RU"/>
              </w:rPr>
              <w:t xml:space="preserve"> % </w:t>
            </w:r>
            <w:proofErr w:type="gramStart"/>
            <w:r w:rsidRPr="00E650EC">
              <w:rPr>
                <w:rFonts w:eastAsia="Times New Roman" w:cs="Calibri"/>
                <w:lang w:eastAsia="ru-RU"/>
              </w:rPr>
              <w:t>от</w:t>
            </w:r>
            <w:proofErr w:type="gramEnd"/>
            <w:r w:rsidRPr="00E650EC">
              <w:rPr>
                <w:rFonts w:eastAsia="Times New Roman" w:cs="Calibri"/>
                <w:lang w:eastAsia="ru-RU"/>
              </w:rPr>
              <w:t xml:space="preserve"> общего числа получателей</w:t>
            </w:r>
          </w:p>
        </w:tc>
      </w:tr>
      <w:tr w:rsidR="00E650EC" w:rsidRPr="00E650EC" w:rsidTr="00834657">
        <w:trPr>
          <w:trHeight w:val="390"/>
        </w:trPr>
        <w:tc>
          <w:tcPr>
            <w:tcW w:w="4824" w:type="dxa"/>
            <w:gridSpan w:val="2"/>
            <w:shd w:val="clear" w:color="auto" w:fill="auto"/>
            <w:vAlign w:val="center"/>
            <w:hideMark/>
          </w:tcPr>
          <w:p w:rsidR="000B5239" w:rsidRPr="00E650EC" w:rsidRDefault="000B5239" w:rsidP="008754D8">
            <w:pPr>
              <w:spacing w:after="0" w:line="360" w:lineRule="auto"/>
              <w:rPr>
                <w:rFonts w:eastAsia="Times New Roman" w:cs="Calibri"/>
                <w:b/>
                <w:lang w:eastAsia="ru-RU"/>
              </w:rPr>
            </w:pPr>
            <w:r w:rsidRPr="00E650EC">
              <w:rPr>
                <w:rFonts w:eastAsia="Times New Roman" w:cs="Calibri"/>
                <w:b/>
                <w:lang w:eastAsia="ru-RU"/>
              </w:rPr>
              <w:t>ВСЕГО получателей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  <w:b/>
              </w:rPr>
            </w:pPr>
            <w:r w:rsidRPr="00E650EC">
              <w:rPr>
                <w:rFonts w:eastAsia="Calibri" w:cs="Calibri"/>
                <w:b/>
              </w:rPr>
              <w:t>13100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b/>
                <w:lang w:eastAsia="ru-RU"/>
              </w:rPr>
            </w:pPr>
            <w:r w:rsidRPr="00E650EC">
              <w:rPr>
                <w:rFonts w:eastAsia="Times New Roman" w:cs="Calibri"/>
                <w:b/>
                <w:lang w:eastAsia="ru-RU"/>
              </w:rPr>
              <w:t>100%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B5239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0B5239" w:rsidRPr="00E650EC">
              <w:rPr>
                <w:rFonts w:eastAsia="Times New Roman" w:cs="Calibri"/>
                <w:lang w:eastAsia="ru-RU"/>
              </w:rPr>
              <w:t>т 0 до 30 тыс. руб.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 w:rsidRPr="00E650EC">
              <w:rPr>
                <w:rFonts w:eastAsia="Calibri" w:cs="Calibri"/>
              </w:rPr>
              <w:t>6855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8754D8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52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B5239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0B5239" w:rsidRPr="00E650EC">
              <w:rPr>
                <w:rFonts w:eastAsia="Times New Roman" w:cs="Calibri"/>
                <w:lang w:eastAsia="ru-RU"/>
              </w:rPr>
              <w:t>т 30 до 36 тыс. руб.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 w:rsidRPr="00E650EC">
              <w:rPr>
                <w:rFonts w:eastAsia="Calibri" w:cs="Calibri"/>
              </w:rPr>
              <w:t>1520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8754D8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12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</w:tcPr>
          <w:p w:rsidR="00E650EC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E650EC" w:rsidRPr="00E650EC">
              <w:rPr>
                <w:rFonts w:eastAsia="Times New Roman" w:cs="Calibri"/>
                <w:lang w:eastAsia="ru-RU"/>
              </w:rPr>
              <w:t>т 36 до 48 тыс. руб.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50EC" w:rsidRPr="00E650EC" w:rsidRDefault="00E650EC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2152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8754D8" w:rsidRPr="00E650EC" w:rsidRDefault="00E650EC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17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</w:tcPr>
          <w:p w:rsidR="00E650EC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E650EC" w:rsidRPr="00E650EC">
              <w:rPr>
                <w:rFonts w:eastAsia="Times New Roman" w:cs="Calibri"/>
                <w:lang w:eastAsia="ru-RU"/>
              </w:rPr>
              <w:t>т 48 до 60 тыс. руб.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50EC" w:rsidRDefault="00E650EC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682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8754D8" w:rsidRDefault="00E650EC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B5239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0B5239" w:rsidRPr="00E650EC">
              <w:rPr>
                <w:rFonts w:eastAsia="Times New Roman" w:cs="Calibri"/>
                <w:lang w:eastAsia="ru-RU"/>
              </w:rPr>
              <w:t>т 60 до 67 тыс. руб.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 w:rsidRPr="00E650EC">
              <w:rPr>
                <w:rFonts w:eastAsia="Calibri" w:cs="Calibri"/>
              </w:rPr>
              <w:t>311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8754D8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4</w:t>
            </w:r>
          </w:p>
        </w:tc>
      </w:tr>
      <w:tr w:rsidR="00E650EC" w:rsidRPr="00E650EC" w:rsidTr="00834657">
        <w:tc>
          <w:tcPr>
            <w:tcW w:w="4824" w:type="dxa"/>
            <w:gridSpan w:val="2"/>
            <w:shd w:val="clear" w:color="auto" w:fill="auto"/>
            <w:vAlign w:val="center"/>
          </w:tcPr>
          <w:p w:rsidR="000B5239" w:rsidRPr="00E650EC" w:rsidRDefault="000B5239" w:rsidP="008754D8">
            <w:pPr>
              <w:spacing w:after="0" w:line="360" w:lineRule="auto"/>
              <w:rPr>
                <w:rFonts w:eastAsia="Times New Roman" w:cs="Calibri"/>
                <w:b/>
                <w:lang w:eastAsia="ru-RU"/>
              </w:rPr>
            </w:pPr>
            <w:r w:rsidRPr="00E650EC">
              <w:rPr>
                <w:rFonts w:eastAsia="Times New Roman" w:cs="Calibri"/>
                <w:b/>
                <w:lang w:eastAsia="ru-RU"/>
              </w:rPr>
              <w:t>ВСЕГО по пунктам 1-5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  <w:b/>
              </w:rPr>
            </w:pPr>
            <w:r w:rsidRPr="00E650EC">
              <w:rPr>
                <w:rFonts w:eastAsia="Calibri" w:cs="Calibri"/>
                <w:b/>
              </w:rPr>
              <w:t>11520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0B5239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b/>
                <w:lang w:eastAsia="ru-RU"/>
              </w:rPr>
            </w:pPr>
            <w:r w:rsidRPr="00E650EC">
              <w:rPr>
                <w:rFonts w:eastAsia="Times New Roman" w:cs="Calibri"/>
                <w:b/>
                <w:lang w:eastAsia="ru-RU"/>
              </w:rPr>
              <w:t>88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B5239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0B5239" w:rsidRPr="00E650EC">
              <w:rPr>
                <w:rFonts w:eastAsia="Times New Roman" w:cs="Calibri"/>
                <w:lang w:eastAsia="ru-RU"/>
              </w:rPr>
              <w:t>т 67 до 84 тыс. руб.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 w:rsidRPr="00E650EC">
              <w:rPr>
                <w:rFonts w:eastAsia="Calibri" w:cs="Calibri"/>
              </w:rPr>
              <w:t>778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8754D8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4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B5239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0B5239" w:rsidRPr="00E650EC">
              <w:rPr>
                <w:rFonts w:eastAsia="Times New Roman" w:cs="Calibri"/>
                <w:lang w:eastAsia="ru-RU"/>
              </w:rPr>
              <w:t>т 84 до 96 тыс. руб.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 w:rsidRPr="00E650EC">
              <w:rPr>
                <w:rFonts w:eastAsia="Calibri" w:cs="Calibri"/>
              </w:rPr>
              <w:t>288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8754D8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B5239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0B5239" w:rsidRPr="00E650EC">
              <w:rPr>
                <w:rFonts w:eastAsia="Times New Roman" w:cs="Calibri"/>
                <w:lang w:eastAsia="ru-RU"/>
              </w:rPr>
              <w:t>т 96 до 108 тыс. руб.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 w:rsidRPr="00E650EC">
              <w:rPr>
                <w:rFonts w:eastAsia="Calibri" w:cs="Calibri"/>
              </w:rPr>
              <w:t>263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8754D8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B5239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0B5239" w:rsidRPr="00E650EC">
              <w:rPr>
                <w:rFonts w:eastAsia="Times New Roman" w:cs="Calibri"/>
                <w:lang w:eastAsia="ru-RU"/>
              </w:rPr>
              <w:t>т 108 до 120 тыс. руб.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 w:rsidRPr="00E650EC">
              <w:rPr>
                <w:rFonts w:eastAsia="Calibri" w:cs="Calibri"/>
              </w:rPr>
              <w:t>172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8754D8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1</w:t>
            </w:r>
          </w:p>
        </w:tc>
      </w:tr>
      <w:tr w:rsidR="00E650EC" w:rsidRPr="00E650EC" w:rsidTr="00834657">
        <w:tc>
          <w:tcPr>
            <w:tcW w:w="724" w:type="dxa"/>
            <w:shd w:val="clear" w:color="auto" w:fill="auto"/>
            <w:vAlign w:val="center"/>
          </w:tcPr>
          <w:p w:rsidR="008754D8" w:rsidRPr="008754D8" w:rsidRDefault="008754D8" w:rsidP="008754D8">
            <w:pPr>
              <w:pStyle w:val="a3"/>
              <w:numPr>
                <w:ilvl w:val="0"/>
                <w:numId w:val="7"/>
              </w:numPr>
              <w:spacing w:after="0" w:line="360" w:lineRule="auto"/>
              <w:ind w:left="0" w:firstLine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B5239" w:rsidRPr="00E650EC" w:rsidRDefault="008754D8" w:rsidP="008754D8">
            <w:pPr>
              <w:spacing w:after="0" w:line="36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</w:t>
            </w:r>
            <w:r w:rsidR="000B5239" w:rsidRPr="00E650EC">
              <w:rPr>
                <w:rFonts w:eastAsia="Times New Roman" w:cs="Calibri"/>
                <w:lang w:eastAsia="ru-RU"/>
              </w:rPr>
              <w:t>т 120 до 515 тыс. руб. и выше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</w:rPr>
            </w:pPr>
            <w:r w:rsidRPr="00E650EC">
              <w:rPr>
                <w:rFonts w:eastAsia="Calibri" w:cs="Calibri"/>
              </w:rPr>
              <w:t>79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8754D8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lang w:eastAsia="ru-RU"/>
              </w:rPr>
            </w:pPr>
            <w:r w:rsidRPr="00E650EC">
              <w:rPr>
                <w:rFonts w:eastAsia="Times New Roman" w:cs="Calibri"/>
                <w:lang w:eastAsia="ru-RU"/>
              </w:rPr>
              <w:t>1</w:t>
            </w:r>
          </w:p>
        </w:tc>
      </w:tr>
      <w:tr w:rsidR="00E650EC" w:rsidRPr="00E650EC" w:rsidTr="00834657">
        <w:tc>
          <w:tcPr>
            <w:tcW w:w="4824" w:type="dxa"/>
            <w:gridSpan w:val="2"/>
            <w:shd w:val="clear" w:color="auto" w:fill="auto"/>
            <w:vAlign w:val="center"/>
          </w:tcPr>
          <w:p w:rsidR="000B5239" w:rsidRPr="00E650EC" w:rsidRDefault="00E650EC" w:rsidP="008754D8">
            <w:pPr>
              <w:spacing w:after="0" w:line="360" w:lineRule="auto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В</w:t>
            </w:r>
            <w:r w:rsidR="000B5239" w:rsidRPr="00E650EC">
              <w:rPr>
                <w:rFonts w:eastAsia="Times New Roman" w:cs="Calibri"/>
                <w:b/>
                <w:lang w:eastAsia="ru-RU"/>
              </w:rPr>
              <w:t>СЕГО по пунктам 6-10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5239" w:rsidRPr="00E650EC" w:rsidRDefault="000B5239" w:rsidP="00834657">
            <w:pPr>
              <w:spacing w:after="0" w:line="360" w:lineRule="auto"/>
              <w:jc w:val="center"/>
              <w:rPr>
                <w:rFonts w:eastAsia="Calibri" w:cs="Calibri"/>
                <w:b/>
              </w:rPr>
            </w:pPr>
            <w:r w:rsidRPr="00E650EC">
              <w:rPr>
                <w:rFonts w:eastAsia="Calibri" w:cs="Calibri"/>
                <w:b/>
              </w:rPr>
              <w:t>1580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0B5239" w:rsidRPr="00E650EC" w:rsidRDefault="000B5239" w:rsidP="00834657">
            <w:pPr>
              <w:spacing w:after="0" w:line="360" w:lineRule="auto"/>
              <w:ind w:firstLine="33"/>
              <w:jc w:val="center"/>
              <w:rPr>
                <w:rFonts w:eastAsia="Times New Roman" w:cs="Calibri"/>
                <w:b/>
                <w:lang w:eastAsia="ru-RU"/>
              </w:rPr>
            </w:pPr>
            <w:r w:rsidRPr="00E650EC">
              <w:rPr>
                <w:rFonts w:eastAsia="Times New Roman" w:cs="Calibri"/>
                <w:b/>
                <w:lang w:eastAsia="ru-RU"/>
              </w:rPr>
              <w:t>12</w:t>
            </w:r>
          </w:p>
        </w:tc>
      </w:tr>
    </w:tbl>
    <w:p w:rsidR="00D82A11" w:rsidRPr="005E7C07" w:rsidRDefault="00D82A11" w:rsidP="00D82A11">
      <w:pPr>
        <w:tabs>
          <w:tab w:val="left" w:pos="1280"/>
        </w:tabs>
        <w:spacing w:after="0" w:line="360" w:lineRule="auto"/>
        <w:ind w:firstLine="708"/>
        <w:jc w:val="both"/>
      </w:pPr>
      <w:proofErr w:type="gramStart"/>
      <w:r w:rsidRPr="003B33B6">
        <w:lastRenderedPageBreak/>
        <w:t xml:space="preserve">Исходя из имеющихся данных, есть основание полагать, что педагогические работники сельской местности, получающие значительные суммы в качестве компенсаций, используют свои льготы не только на нужды </w:t>
      </w:r>
      <w:r w:rsidR="008754D8">
        <w:br/>
      </w:r>
      <w:r w:rsidRPr="003B33B6">
        <w:t>по обеспечению своих жилых помещений коммунальными ресурсами (электричество, газ, твёрдое топлива), но и на иные, не установленные законодательством цели: освещение и отопление нежилых хозяйственных помещений (теплицы, бани, помещения для содержания скота и птицы), потребление электроэнергии</w:t>
      </w:r>
      <w:proofErr w:type="gramEnd"/>
      <w:r w:rsidRPr="003B33B6">
        <w:t xml:space="preserve"> </w:t>
      </w:r>
      <w:proofErr w:type="gramStart"/>
      <w:r w:rsidRPr="003B33B6">
        <w:t>и газа в производственных целях, освещение внешних  территорий, передача или продажа ресурсов (твёрдое топливо, электричество, газ, твёрдое топливо) иным лицам (родственники, соседи, знакомые).</w:t>
      </w:r>
      <w:proofErr w:type="gramEnd"/>
      <w:r w:rsidRPr="003B33B6">
        <w:t xml:space="preserve"> У отдельных получателей суммы компенсации за год могут достигать 200, 300, и даже более 500 тысяч рублей.</w:t>
      </w:r>
      <w:r w:rsidRPr="005E7C07">
        <w:t xml:space="preserve"> </w:t>
      </w:r>
    </w:p>
    <w:p w:rsidR="00D82A11" w:rsidRDefault="00D82A11" w:rsidP="006B2964">
      <w:pPr>
        <w:spacing w:after="0" w:line="360" w:lineRule="auto"/>
        <w:ind w:firstLine="709"/>
        <w:jc w:val="both"/>
      </w:pPr>
      <w:proofErr w:type="gramStart"/>
      <w:r w:rsidRPr="00D82A11">
        <w:t xml:space="preserve">В связи с изложенным предлагается </w:t>
      </w:r>
      <w:r w:rsidR="000B5239" w:rsidRPr="00E650EC">
        <w:t>в</w:t>
      </w:r>
      <w:r w:rsidRPr="00E650EC">
        <w:t xml:space="preserve">несение </w:t>
      </w:r>
      <w:r w:rsidRPr="00D82A11">
        <w:t>изменений в Закон Ульяновской области от 30 декабря 205 года № 167-ЗО «</w:t>
      </w:r>
      <w:r w:rsidR="00782899" w:rsidRPr="00782899">
        <w:t xml:space="preserve">О мерах социальной поддержки педагогических и некоторых других категорий работников образовательных организаций, работающих и (или) проживающих в сельских населённых пунктах, рабочих посёлках (посёлках городского типа) </w:t>
      </w:r>
      <w:r w:rsidR="00782899">
        <w:br/>
      </w:r>
      <w:r w:rsidR="00782899" w:rsidRPr="00782899">
        <w:t>на территории Ульяновской области</w:t>
      </w:r>
      <w:r w:rsidRPr="00D82A11">
        <w:t>», которые предусматривают введение экономически обоснованного максимального размера ежемесячной денежной компенсации расходов на оплату жилого</w:t>
      </w:r>
      <w:proofErr w:type="gramEnd"/>
      <w:r w:rsidRPr="00D82A11">
        <w:t xml:space="preserve"> помещения, отопления и освещения. Настоящим законопроектом устанавливается размер компенсации в объёме </w:t>
      </w:r>
      <w:r w:rsidR="00782899">
        <w:br/>
      </w:r>
      <w:r w:rsidRPr="00D82A11">
        <w:t>100 % понесённых расходов, но не более 15</w:t>
      </w:r>
      <w:r w:rsidR="00922F1C">
        <w:t>0</w:t>
      </w:r>
      <w:r w:rsidRPr="00D82A11">
        <w:t xml:space="preserve">0 рублей за период с июня </w:t>
      </w:r>
      <w:r w:rsidR="00782899">
        <w:br/>
      </w:r>
      <w:r w:rsidRPr="00D82A11">
        <w:t xml:space="preserve">по октябрь и не более </w:t>
      </w:r>
      <w:r w:rsidR="00922F1C">
        <w:t>8500</w:t>
      </w:r>
      <w:r w:rsidRPr="00D82A11">
        <w:t xml:space="preserve"> рублей за период с ноября по май ежемесячно. Предоставление денежной компенсации расходов на оплату приобретённого твёрдого топлива предлагается осуществлять только в пределах норм, установленных для продажи населению. </w:t>
      </w:r>
    </w:p>
    <w:p w:rsidR="00AC6E15" w:rsidRDefault="00D82A11" w:rsidP="006B2964">
      <w:pPr>
        <w:spacing w:after="0" w:line="360" w:lineRule="auto"/>
        <w:ind w:firstLine="709"/>
        <w:jc w:val="both"/>
      </w:pPr>
      <w:proofErr w:type="gramStart"/>
      <w:r>
        <w:t>Р</w:t>
      </w:r>
      <w:r w:rsidR="00AC6E15">
        <w:t xml:space="preserve">асчёт максимально возможного размера </w:t>
      </w:r>
      <w:r w:rsidR="003448AA">
        <w:t>ЕДК</w:t>
      </w:r>
      <w:r w:rsidR="00AC6E15">
        <w:t xml:space="preserve"> педагогическим работникам сельской местности осуществлён основываясь</w:t>
      </w:r>
      <w:proofErr w:type="gramEnd"/>
      <w:r w:rsidR="00AC6E15">
        <w:t xml:space="preserve"> на расходах </w:t>
      </w:r>
      <w:r w:rsidR="00782899">
        <w:br/>
      </w:r>
      <w:r w:rsidR="00AC6E15">
        <w:t>по оплате коммунальных услуг</w:t>
      </w:r>
      <w:r w:rsidR="00796331">
        <w:t>,</w:t>
      </w:r>
      <w:r w:rsidR="00AC6E15">
        <w:t xml:space="preserve"> характерных для жилого дома, расположенного в сельской местности, в котором для освещения жилого помещения </w:t>
      </w:r>
      <w:r w:rsidR="00AC6E15">
        <w:lastRenderedPageBreak/>
        <w:t xml:space="preserve">потребляется электрическая энергия, а для отопления жилого помещения </w:t>
      </w:r>
      <w:r w:rsidR="00782899">
        <w:br/>
      </w:r>
      <w:r w:rsidR="00AC6E15">
        <w:t xml:space="preserve">в зимний период используется сетевой природный газ. </w:t>
      </w:r>
    </w:p>
    <w:p w:rsidR="00AC6E15" w:rsidRDefault="00AC6E15" w:rsidP="006B2964">
      <w:pPr>
        <w:spacing w:after="0" w:line="360" w:lineRule="auto"/>
        <w:ind w:firstLine="709"/>
        <w:jc w:val="both"/>
      </w:pPr>
      <w:r>
        <w:t>Учитывая то, что получателями компенсации являются и одиноко проживающие педагогические работники, так и семьи с детьми</w:t>
      </w:r>
      <w:r w:rsidR="00796331">
        <w:t>,</w:t>
      </w:r>
      <w:r>
        <w:t xml:space="preserve"> для расчёта был взят средний показатель численности состава семьи педагогического работника – 2 человека.</w:t>
      </w:r>
    </w:p>
    <w:p w:rsidR="00AC6E15" w:rsidRDefault="00AC6E15" w:rsidP="006B2964">
      <w:pPr>
        <w:spacing w:after="0" w:line="360" w:lineRule="auto"/>
        <w:ind w:firstLine="709"/>
        <w:jc w:val="both"/>
      </w:pPr>
      <w:proofErr w:type="gramStart"/>
      <w:r>
        <w:t xml:space="preserve">За основу </w:t>
      </w:r>
      <w:r w:rsidR="00796331">
        <w:t>расчёта</w:t>
      </w:r>
      <w:r>
        <w:t xml:space="preserve"> электроснабжения для освещения жилого помещения был взят норматив потребления электроэнергии семьёй, состоящей из двух человек </w:t>
      </w:r>
      <w:r w:rsidR="00922F1C">
        <w:t>346</w:t>
      </w:r>
      <w:r w:rsidRPr="001D6D81">
        <w:rPr>
          <w:rFonts w:ascii="Arial" w:hAnsi="Arial" w:cs="Arial"/>
          <w:b/>
          <w:bCs/>
          <w:color w:val="111111"/>
          <w:shd w:val="clear" w:color="auto" w:fill="FFFFFF"/>
        </w:rPr>
        <w:t xml:space="preserve"> </w:t>
      </w:r>
      <w:r w:rsidRPr="001D6D81">
        <w:rPr>
          <w:rFonts w:cs="Arial"/>
          <w:bCs/>
          <w:color w:val="111111"/>
          <w:shd w:val="clear" w:color="auto" w:fill="FFFFFF"/>
        </w:rPr>
        <w:t>кВт*ч</w:t>
      </w:r>
      <w:r>
        <w:rPr>
          <w:rFonts w:cs="Arial"/>
          <w:bCs/>
          <w:color w:val="111111"/>
          <w:shd w:val="clear" w:color="auto" w:fill="FFFFFF"/>
        </w:rPr>
        <w:t xml:space="preserve"> и стоимость </w:t>
      </w:r>
      <w:r w:rsidRPr="001D6D81">
        <w:rPr>
          <w:rFonts w:cs="Arial"/>
          <w:bCs/>
          <w:color w:val="111111"/>
          <w:shd w:val="clear" w:color="auto" w:fill="FFFFFF"/>
        </w:rPr>
        <w:t>кВт</w:t>
      </w:r>
      <w:r>
        <w:rPr>
          <w:rFonts w:cs="Arial"/>
          <w:bCs/>
          <w:color w:val="111111"/>
          <w:shd w:val="clear" w:color="auto" w:fill="FFFFFF"/>
        </w:rPr>
        <w:t xml:space="preserve"> – 4,</w:t>
      </w:r>
      <w:r w:rsidR="00922F1C">
        <w:rPr>
          <w:rFonts w:cs="Arial"/>
          <w:bCs/>
          <w:color w:val="111111"/>
          <w:shd w:val="clear" w:color="auto" w:fill="FFFFFF"/>
        </w:rPr>
        <w:t>16</w:t>
      </w:r>
      <w:r>
        <w:rPr>
          <w:rFonts w:cs="Arial"/>
          <w:bCs/>
          <w:color w:val="111111"/>
          <w:shd w:val="clear" w:color="auto" w:fill="FFFFFF"/>
        </w:rPr>
        <w:t xml:space="preserve"> руб. Исходя из этого начисленная плата за летний период составила 1</w:t>
      </w:r>
      <w:r w:rsidR="00922F1C">
        <w:rPr>
          <w:rFonts w:cs="Arial"/>
          <w:bCs/>
          <w:color w:val="111111"/>
          <w:shd w:val="clear" w:color="auto" w:fill="FFFFFF"/>
        </w:rPr>
        <w:t>439,36</w:t>
      </w:r>
      <w:r>
        <w:rPr>
          <w:rFonts w:cs="Arial"/>
          <w:bCs/>
          <w:color w:val="111111"/>
          <w:shd w:val="clear" w:color="auto" w:fill="FFFFFF"/>
        </w:rPr>
        <w:t xml:space="preserve"> руб.</w:t>
      </w:r>
      <w:r w:rsidRPr="001D6D81">
        <w:t xml:space="preserve"> Предлагаем</w:t>
      </w:r>
      <w:r>
        <w:t xml:space="preserve"> установить </w:t>
      </w:r>
      <w:r>
        <w:br/>
        <w:t xml:space="preserve">на период </w:t>
      </w:r>
      <w:r>
        <w:rPr>
          <w:rFonts w:cs="Arial"/>
          <w:bCs/>
          <w:color w:val="111111"/>
          <w:shd w:val="clear" w:color="auto" w:fill="FFFFFF"/>
        </w:rPr>
        <w:t xml:space="preserve">с июня по октябрь ежемесячный </w:t>
      </w:r>
      <w:r w:rsidRPr="001D6D81">
        <w:rPr>
          <w:rFonts w:cs="Arial"/>
          <w:bCs/>
          <w:color w:val="111111"/>
          <w:shd w:val="clear" w:color="auto" w:fill="FFFFFF"/>
        </w:rPr>
        <w:t xml:space="preserve">максимально возможный </w:t>
      </w:r>
      <w:r>
        <w:rPr>
          <w:rFonts w:cs="Arial"/>
          <w:bCs/>
          <w:color w:val="111111"/>
          <w:shd w:val="clear" w:color="auto" w:fill="FFFFFF"/>
        </w:rPr>
        <w:t xml:space="preserve">размер </w:t>
      </w:r>
      <w:r w:rsidRPr="001D6D81">
        <w:rPr>
          <w:rFonts w:cs="Arial"/>
          <w:bCs/>
          <w:color w:val="111111"/>
          <w:shd w:val="clear" w:color="auto" w:fill="FFFFFF"/>
        </w:rPr>
        <w:t xml:space="preserve">компенсации </w:t>
      </w:r>
      <w:r>
        <w:rPr>
          <w:rFonts w:cs="Arial"/>
          <w:bCs/>
          <w:color w:val="111111"/>
          <w:shd w:val="clear" w:color="auto" w:fill="FFFFFF"/>
        </w:rPr>
        <w:t>не более 15</w:t>
      </w:r>
      <w:r w:rsidR="00922F1C">
        <w:rPr>
          <w:rFonts w:cs="Arial"/>
          <w:bCs/>
          <w:color w:val="111111"/>
          <w:shd w:val="clear" w:color="auto" w:fill="FFFFFF"/>
        </w:rPr>
        <w:t>0</w:t>
      </w:r>
      <w:r>
        <w:rPr>
          <w:rFonts w:cs="Arial"/>
          <w:bCs/>
          <w:color w:val="111111"/>
          <w:shd w:val="clear" w:color="auto" w:fill="FFFFFF"/>
        </w:rPr>
        <w:t>0 рублей.</w:t>
      </w:r>
      <w:proofErr w:type="gramEnd"/>
    </w:p>
    <w:p w:rsidR="00AC6E15" w:rsidRDefault="00AC6E15" w:rsidP="006B2964">
      <w:pPr>
        <w:spacing w:after="0" w:line="360" w:lineRule="auto"/>
        <w:ind w:firstLine="709"/>
        <w:jc w:val="both"/>
      </w:pPr>
      <w:r>
        <w:t xml:space="preserve">За основу расчёта начисленной платы за отопление жилого помещения </w:t>
      </w:r>
      <w:r>
        <w:br/>
        <w:t>с использованием сетевого природного газа был</w:t>
      </w:r>
      <w:r w:rsidR="00843F50">
        <w:t>о</w:t>
      </w:r>
      <w:r>
        <w:t xml:space="preserve"> взят</w:t>
      </w:r>
      <w:r w:rsidR="00843F50">
        <w:t>о</w:t>
      </w:r>
      <w:r>
        <w:t xml:space="preserve"> жило</w:t>
      </w:r>
      <w:r w:rsidR="00843F50">
        <w:t>е</w:t>
      </w:r>
      <w:r>
        <w:t xml:space="preserve"> помещени</w:t>
      </w:r>
      <w:r w:rsidR="00843F50">
        <w:t>е</w:t>
      </w:r>
      <w:r>
        <w:t xml:space="preserve"> </w:t>
      </w:r>
      <w:r w:rsidR="00843F50">
        <w:t>60</w:t>
      </w:r>
      <w:r>
        <w:t xml:space="preserve"> м², норматив потребления сетевого природного газа</w:t>
      </w:r>
      <w:r w:rsidR="00843F50">
        <w:t xml:space="preserve"> </w:t>
      </w:r>
      <w:r>
        <w:t>в</w:t>
      </w:r>
      <w:r w:rsidR="009C1746">
        <w:t xml:space="preserve"> </w:t>
      </w:r>
      <w:r>
        <w:t xml:space="preserve">отопительный период 18,9 м³ на 1 м² площади жилого помещения, стоимость сетевого природного газа </w:t>
      </w:r>
      <w:r w:rsidR="00843F50">
        <w:br/>
        <w:t>6,26</w:t>
      </w:r>
      <w:r>
        <w:t xml:space="preserve"> руб. за 1 м³</w:t>
      </w:r>
      <w:r w:rsidRPr="001D6D81">
        <w:t xml:space="preserve"> сетевого природного газа</w:t>
      </w:r>
      <w:r>
        <w:t>. Исходя</w:t>
      </w:r>
      <w:r w:rsidR="00843F50">
        <w:t xml:space="preserve"> </w:t>
      </w:r>
      <w:r>
        <w:t xml:space="preserve">из этого начисленная плата за услугу отопления жилого помещения </w:t>
      </w:r>
      <w:r w:rsidR="00843F50">
        <w:t>о</w:t>
      </w:r>
      <w:r>
        <w:t xml:space="preserve">топительный период, составила – </w:t>
      </w:r>
      <w:r w:rsidR="00843F50">
        <w:t>7098,84</w:t>
      </w:r>
      <w:r>
        <w:t xml:space="preserve"> руб. С учётом расходов на освещение жилого помещения, плата </w:t>
      </w:r>
      <w:r w:rsidR="008754D8">
        <w:br/>
      </w:r>
      <w:r>
        <w:t xml:space="preserve">за жилое помещение в отопительный период, составит – </w:t>
      </w:r>
      <w:r w:rsidR="00843F50">
        <w:t>8538,20</w:t>
      </w:r>
      <w:r>
        <w:t xml:space="preserve"> руб. </w:t>
      </w:r>
      <w:r w:rsidRPr="00567CD1">
        <w:t xml:space="preserve">Предлагаем установить на </w:t>
      </w:r>
      <w:r>
        <w:t>п</w:t>
      </w:r>
      <w:r w:rsidRPr="00567CD1">
        <w:t xml:space="preserve">ериод с </w:t>
      </w:r>
      <w:r>
        <w:t>ноября по май</w:t>
      </w:r>
      <w:r w:rsidRPr="00567CD1">
        <w:t xml:space="preserve"> ежемесячный максимально возможный размер компенсации не более </w:t>
      </w:r>
      <w:r w:rsidR="00843F50">
        <w:t>8500</w:t>
      </w:r>
      <w:r w:rsidRPr="00567CD1">
        <w:t xml:space="preserve"> рублей.</w:t>
      </w:r>
      <w:r>
        <w:t xml:space="preserve"> </w:t>
      </w:r>
    </w:p>
    <w:p w:rsidR="00BE5F8E" w:rsidRDefault="00BE5F8E" w:rsidP="00BE5F8E">
      <w:pPr>
        <w:spacing w:after="0" w:line="360" w:lineRule="auto"/>
        <w:ind w:firstLine="708"/>
        <w:jc w:val="both"/>
      </w:pPr>
      <w:r>
        <w:t xml:space="preserve">В случае принятия законопроекта </w:t>
      </w:r>
      <w:r w:rsidRPr="00BE5F8E">
        <w:t xml:space="preserve">размер годовой компенсации </w:t>
      </w:r>
      <w:r>
        <w:br/>
      </w:r>
      <w:r w:rsidRPr="00BE5F8E">
        <w:t xml:space="preserve">за потреблённое электроснабжение и газоснабжение не превысит </w:t>
      </w:r>
      <w:r w:rsidR="000C7E0C">
        <w:t>67</w:t>
      </w:r>
      <w:r w:rsidRPr="00BE5F8E">
        <w:t>,</w:t>
      </w:r>
      <w:r w:rsidR="000C7E0C">
        <w:t>0</w:t>
      </w:r>
      <w:r w:rsidRPr="00BE5F8E">
        <w:t xml:space="preserve"> тыс. руб. При этом </w:t>
      </w:r>
      <w:r w:rsidRPr="00BD288D">
        <w:t xml:space="preserve">только </w:t>
      </w:r>
      <w:r w:rsidR="000C7E0C">
        <w:t>1</w:t>
      </w:r>
      <w:r w:rsidR="0013371B" w:rsidRPr="00BD288D">
        <w:t>,</w:t>
      </w:r>
      <w:r w:rsidR="000C7E0C">
        <w:t xml:space="preserve">58 </w:t>
      </w:r>
      <w:r w:rsidR="0013371B" w:rsidRPr="00BD288D">
        <w:t xml:space="preserve">тыс. человек, по итогам 2021 года получили компенсацию свыше </w:t>
      </w:r>
      <w:r w:rsidR="000C7E0C">
        <w:t>67,0</w:t>
      </w:r>
      <w:r w:rsidR="0013371B" w:rsidRPr="00BD288D">
        <w:t xml:space="preserve"> тыс. руб. в год. Это количество составляет лишь </w:t>
      </w:r>
      <w:r w:rsidR="000C7E0C">
        <w:t>12</w:t>
      </w:r>
      <w:r w:rsidR="0013371B" w:rsidRPr="00BD288D">
        <w:t xml:space="preserve">% от общего числа получателей в 13,1 </w:t>
      </w:r>
      <w:r w:rsidRPr="00BD288D">
        <w:t>тыс. человек</w:t>
      </w:r>
      <w:r w:rsidRPr="00BE5F8E">
        <w:t xml:space="preserve">.  </w:t>
      </w:r>
    </w:p>
    <w:p w:rsidR="001577BE" w:rsidRDefault="00D82A11" w:rsidP="001577BE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8"/>
        <w:jc w:val="both"/>
      </w:pPr>
      <w:proofErr w:type="gramStart"/>
      <w:r>
        <w:t>в</w:t>
      </w:r>
      <w:r w:rsidR="002D4851" w:rsidRPr="00683BC8">
        <w:t xml:space="preserve"> Закон Ульяновской области от 6 мая 2006 года </w:t>
      </w:r>
      <w:r w:rsidR="002D4851">
        <w:br/>
      </w:r>
      <w:r w:rsidR="002D4851" w:rsidRPr="00683BC8">
        <w:t xml:space="preserve">№ 51-ЗО «О социальной поддержке детей военнослужащих, </w:t>
      </w:r>
      <w:r w:rsidR="00F43648">
        <w:t xml:space="preserve">прокурорских работников, </w:t>
      </w:r>
      <w:r w:rsidR="002D4851" w:rsidRPr="00683BC8">
        <w:t xml:space="preserve">сотрудников органов внутренних дел, Федеральной службы </w:t>
      </w:r>
      <w:r w:rsidR="002D4851" w:rsidRPr="00683BC8">
        <w:lastRenderedPageBreak/>
        <w:t xml:space="preserve">безопасности Российской Федерации, </w:t>
      </w:r>
      <w:r w:rsidR="00F40BCB">
        <w:t>о</w:t>
      </w:r>
      <w:r w:rsidR="002D4851" w:rsidRPr="00683BC8">
        <w:t>рганов уголовно-исполнительной системы Министерства юстиции Российской Федерации и органов Министерства Российской Федерации по делам гражданской обороны, чрезвычайным ситуациям и ликвидации последствий стихийных бедствий»</w:t>
      </w:r>
      <w:r w:rsidR="002D4851">
        <w:t xml:space="preserve"> </w:t>
      </w:r>
      <w:r w:rsidR="00F40BCB">
        <w:br/>
      </w:r>
      <w:r w:rsidR="002D4851">
        <w:t xml:space="preserve">и </w:t>
      </w:r>
      <w:r w:rsidR="002D4851" w:rsidRPr="000F4F1B">
        <w:t xml:space="preserve">Закон Ульяновской области от 19 декабря 2007 года № 225-ЗО </w:t>
      </w:r>
      <w:r w:rsidR="002D4851" w:rsidRPr="000F4F1B">
        <w:br/>
        <w:t>«О</w:t>
      </w:r>
      <w:proofErr w:type="gramEnd"/>
      <w:r w:rsidR="002D4851" w:rsidRPr="000F4F1B">
        <w:t xml:space="preserve"> социальной поддержке родителей</w:t>
      </w:r>
      <w:r w:rsidR="00F43648">
        <w:t xml:space="preserve"> и супругов </w:t>
      </w:r>
      <w:r w:rsidR="002D4851" w:rsidRPr="000F4F1B">
        <w:t xml:space="preserve">военнослужащих, </w:t>
      </w:r>
      <w:r w:rsidR="00F43648" w:rsidRPr="000F4F1B">
        <w:t>прокур</w:t>
      </w:r>
      <w:r w:rsidR="00F43648">
        <w:t xml:space="preserve">орских работников, </w:t>
      </w:r>
      <w:r w:rsidR="002D4851" w:rsidRPr="000F4F1B">
        <w:t xml:space="preserve">сотрудников органов внутренних дел, </w:t>
      </w:r>
      <w:r w:rsidR="00F43648">
        <w:t>Ф</w:t>
      </w:r>
      <w:r w:rsidR="002D4851" w:rsidRPr="000F4F1B">
        <w:t>едеральной службы безопасности Российской Федерации, органов у</w:t>
      </w:r>
      <w:r w:rsidR="00F43648">
        <w:t>головно-исполнительной системы М</w:t>
      </w:r>
      <w:r w:rsidR="002D4851" w:rsidRPr="000F4F1B">
        <w:t>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обязанностей»</w:t>
      </w:r>
      <w:r w:rsidR="001577BE">
        <w:t>.</w:t>
      </w:r>
      <w:r w:rsidR="002D4851" w:rsidRPr="000F4F1B">
        <w:t xml:space="preserve"> </w:t>
      </w:r>
    </w:p>
    <w:p w:rsidR="00BE5F8E" w:rsidRDefault="001577BE" w:rsidP="001577BE">
      <w:pPr>
        <w:pStyle w:val="a3"/>
        <w:tabs>
          <w:tab w:val="left" w:pos="1134"/>
        </w:tabs>
        <w:spacing w:after="0" w:line="360" w:lineRule="auto"/>
        <w:ind w:left="0" w:firstLine="708"/>
        <w:jc w:val="both"/>
      </w:pPr>
      <w:proofErr w:type="gramStart"/>
      <w:r w:rsidRPr="001577BE">
        <w:t xml:space="preserve">Учитывая значение поддержки граждан – </w:t>
      </w:r>
      <w:r>
        <w:t xml:space="preserve">членов семей погибших военнослужащих и сотрудников некоторых федеральных органов </w:t>
      </w:r>
      <w:r w:rsidRPr="001577BE">
        <w:t xml:space="preserve"> </w:t>
      </w:r>
      <w:r>
        <w:t>исполнительной власти</w:t>
      </w:r>
      <w:r w:rsidRPr="001577BE">
        <w:t xml:space="preserve"> и невысокий размер ежемесячного пособия, предоставляемого таким гражданам за счёт средств областного бюджета Ульяновской области, предусматривается увеличение размера ежемесячного денежного пособия </w:t>
      </w:r>
      <w:r w:rsidR="002D4851">
        <w:t xml:space="preserve">детям, родителям, вдовам (вдовцам) погибших военнослужащих, прокурорских работников и сотрудников отдельных федеральных органов исполнительных власти </w:t>
      </w:r>
      <w:r w:rsidR="002D4851" w:rsidRPr="00683BC8">
        <w:t>до 5000 рублей</w:t>
      </w:r>
      <w:r w:rsidR="00F43648">
        <w:t xml:space="preserve"> (с 1280 рублей детям погибших и</w:t>
      </w:r>
      <w:proofErr w:type="gramEnd"/>
      <w:r w:rsidR="00F43648">
        <w:t xml:space="preserve"> </w:t>
      </w:r>
      <w:proofErr w:type="gramStart"/>
      <w:r w:rsidR="00F43648">
        <w:t>1000 рублей родителям, вдовам (вдовцам) погибших),</w:t>
      </w:r>
      <w:r w:rsidR="002D4851">
        <w:t xml:space="preserve"> </w:t>
      </w:r>
      <w:r>
        <w:br/>
      </w:r>
      <w:r w:rsidR="002D4851">
        <w:t>а также распространение предусмотренных указанным</w:t>
      </w:r>
      <w:r w:rsidR="00F43648">
        <w:t>и</w:t>
      </w:r>
      <w:r w:rsidR="002D4851">
        <w:t xml:space="preserve"> Закон</w:t>
      </w:r>
      <w:r w:rsidR="00F43648">
        <w:t>а</w:t>
      </w:r>
      <w:r w:rsidR="002D4851">
        <w:t>м</w:t>
      </w:r>
      <w:r w:rsidR="00F43648">
        <w:t>и</w:t>
      </w:r>
      <w:r w:rsidR="002D4851">
        <w:t xml:space="preserve"> мер социальной поддержки на детей, родителей, вдов (вдовцов) сотрудников войск национальной гвардии Российской Федерации</w:t>
      </w:r>
      <w:r w:rsidR="008E1D7E">
        <w:t>, и родителей, вдов (вдовцов) сотрудников Министерства Российской Федерации по делам гражданской обороны, чрезвычайным ситуациям и ликвидации последствий стихийных бедствий.</w:t>
      </w:r>
      <w:r w:rsidR="006B2964">
        <w:t xml:space="preserve"> </w:t>
      </w:r>
      <w:proofErr w:type="gramEnd"/>
    </w:p>
    <w:p w:rsidR="001577BE" w:rsidRDefault="002D4851" w:rsidP="00BE5F8E">
      <w:pPr>
        <w:spacing w:after="0" w:line="360" w:lineRule="auto"/>
        <w:ind w:firstLine="708"/>
        <w:jc w:val="both"/>
      </w:pPr>
      <w:r>
        <w:t xml:space="preserve">Получателями ежемесячного денежного пособия </w:t>
      </w:r>
      <w:r w:rsidR="009A03DB">
        <w:t xml:space="preserve">на 01.10.2022 </w:t>
      </w:r>
      <w:r w:rsidR="001577BE">
        <w:t>является</w:t>
      </w:r>
      <w:r w:rsidR="009A03DB">
        <w:t xml:space="preserve"> 89 детей и 416 род</w:t>
      </w:r>
      <w:r w:rsidR="001577BE">
        <w:t>ителей и вдов (вдовцов) погибших;</w:t>
      </w:r>
    </w:p>
    <w:p w:rsidR="00133C97" w:rsidRDefault="001577BE" w:rsidP="001577BE">
      <w:pPr>
        <w:spacing w:after="0" w:line="360" w:lineRule="auto"/>
        <w:ind w:firstLine="708"/>
        <w:jc w:val="both"/>
      </w:pPr>
      <w:r>
        <w:lastRenderedPageBreak/>
        <w:t>4)</w:t>
      </w:r>
      <w:r w:rsidR="00EE0C97">
        <w:t xml:space="preserve"> в Закон Ульяновской области от 19 декабря 2008 года № 221-ЗО </w:t>
      </w:r>
      <w:r w:rsidR="00782899">
        <w:br/>
      </w:r>
      <w:r w:rsidR="00EE0C97">
        <w:t>«О мерах социальной поддержки и социальном обслуживании граждан, страдающих психическими расстройствами и находящихся в трудной жизненной ситуации»</w:t>
      </w:r>
      <w:r>
        <w:t>.</w:t>
      </w:r>
      <w:r w:rsidR="00EE0C97">
        <w:t xml:space="preserve"> </w:t>
      </w:r>
      <w:r>
        <w:t>П</w:t>
      </w:r>
      <w:r w:rsidR="00EE0C97">
        <w:t>редусматривает</w:t>
      </w:r>
      <w:r>
        <w:t>ся</w:t>
      </w:r>
      <w:r w:rsidR="00EE0C97">
        <w:t xml:space="preserve"> изменение категории получателей</w:t>
      </w:r>
      <w:r w:rsidR="00133C97">
        <w:t xml:space="preserve">. </w:t>
      </w:r>
      <w:r w:rsidR="008756C8">
        <w:br/>
      </w:r>
      <w:r w:rsidR="00133C97">
        <w:t>В соответствии с указанным Законом</w:t>
      </w:r>
      <w:r w:rsidR="00EE0C97">
        <w:t xml:space="preserve"> мера социальной поддержки (ежегодная денежная выплата) предоставля</w:t>
      </w:r>
      <w:r w:rsidR="00133C97">
        <w:t>ется</w:t>
      </w:r>
      <w:r w:rsidR="00EE0C97">
        <w:t xml:space="preserve"> гражданам, находящимся в трудной жизненной ситуации, страдающим психическим расстройством</w:t>
      </w:r>
      <w:r w:rsidR="00133C97">
        <w:t>,</w:t>
      </w:r>
      <w:r w:rsidR="008756C8">
        <w:t xml:space="preserve"> </w:t>
      </w:r>
      <w:r w:rsidR="00133C97">
        <w:t>законопроектом предлагается заменить её на – граждане, имеющие инвалидность, страдающие психическим расстройством</w:t>
      </w:r>
      <w:r w:rsidR="00EE0C97">
        <w:t xml:space="preserve">. </w:t>
      </w:r>
      <w:proofErr w:type="gramStart"/>
      <w:r w:rsidR="00133C97">
        <w:t xml:space="preserve">Предлагаемые изменения связаны с </w:t>
      </w:r>
      <w:r w:rsidR="00EE0C97">
        <w:t>изменениями, внесёнными в статью 17 Федерального закона от 2 июля 1992 года № 3185-I «О психиатрической помощи и гарантиях прав граждан при ее оказании», исключившими слова «находящимся в трудной жизненной ситуации» из положений</w:t>
      </w:r>
      <w:r w:rsidR="00133C97">
        <w:t>, определяющих категорию граждан, которым указанной статьёй определено право на меры поддержки</w:t>
      </w:r>
      <w:r w:rsidR="00EE0C97">
        <w:t>.</w:t>
      </w:r>
      <w:r w:rsidR="00F02265">
        <w:t xml:space="preserve"> </w:t>
      </w:r>
      <w:proofErr w:type="gramEnd"/>
    </w:p>
    <w:p w:rsidR="003C0B28" w:rsidRPr="00715A61" w:rsidRDefault="00133C97" w:rsidP="006B2964">
      <w:pPr>
        <w:spacing w:after="0" w:line="360" w:lineRule="auto"/>
        <w:ind w:firstLine="708"/>
        <w:jc w:val="both"/>
        <w:rPr>
          <w:color w:val="FF0000"/>
        </w:rPr>
      </w:pPr>
      <w:r>
        <w:t xml:space="preserve">Кроме того </w:t>
      </w:r>
      <w:r w:rsidR="00F02265">
        <w:t xml:space="preserve">исключена такая мера социальной поддержки </w:t>
      </w:r>
      <w:r w:rsidR="006B2964">
        <w:br/>
      </w:r>
      <w:r w:rsidR="00F02265">
        <w:t xml:space="preserve">как </w:t>
      </w:r>
      <w:r w:rsidR="00F02265" w:rsidRPr="00F02265">
        <w:t xml:space="preserve">внеочередной приём в организации социального обслуживания Ульяновской области для престарелых и инвалидов, а также стационарные организации социального обслуживания Ульяновской области, предназначенные для лиц, страдающих психическими расстройствами </w:t>
      </w:r>
      <w:r w:rsidR="00F02265" w:rsidRPr="003A3EE5">
        <w:t>(психоневрологические интернаты)</w:t>
      </w:r>
      <w:r>
        <w:t xml:space="preserve">. Изменения связаны </w:t>
      </w:r>
      <w:r w:rsidR="00F02265" w:rsidRPr="003A3EE5">
        <w:t xml:space="preserve">с </w:t>
      </w:r>
      <w:r w:rsidR="004E50B5" w:rsidRPr="003A3EE5">
        <w:t xml:space="preserve">отсутствием необходимости дополнительного правового регулирования принятия </w:t>
      </w:r>
      <w:r w:rsidR="006B2964">
        <w:br/>
      </w:r>
      <w:r w:rsidR="004E50B5" w:rsidRPr="003A3EE5">
        <w:t xml:space="preserve">в стационарные организации социального обслуживания Ульяновской области, предназначенные для лиц, страдающих психическими расстройствами, </w:t>
      </w:r>
      <w:r w:rsidR="006B2964">
        <w:br/>
      </w:r>
      <w:r w:rsidR="004E50B5" w:rsidRPr="003A3EE5">
        <w:t xml:space="preserve">так как лиц, </w:t>
      </w:r>
      <w:r w:rsidR="004E50B5" w:rsidRPr="00715A61">
        <w:t>страдающи</w:t>
      </w:r>
      <w:r w:rsidR="006F2966" w:rsidRPr="00715A61">
        <w:t>х</w:t>
      </w:r>
      <w:r w:rsidR="004E50B5" w:rsidRPr="00715A61">
        <w:t xml:space="preserve"> психическими расстройствами, </w:t>
      </w:r>
      <w:proofErr w:type="gramStart"/>
      <w:r w:rsidR="006F2966" w:rsidRPr="00715A61">
        <w:t>возможно</w:t>
      </w:r>
      <w:proofErr w:type="gramEnd"/>
      <w:r w:rsidR="006F2966" w:rsidRPr="00715A61">
        <w:t xml:space="preserve"> принять </w:t>
      </w:r>
      <w:r w:rsidR="003C0B28" w:rsidRPr="00715A61">
        <w:br/>
      </w:r>
      <w:r w:rsidR="006F2966" w:rsidRPr="00715A61">
        <w:t xml:space="preserve">на социальное обслуживание исключительно в психоневрологические интернаты, где проживают </w:t>
      </w:r>
      <w:r w:rsidR="003C0B28" w:rsidRPr="00715A61">
        <w:t>только</w:t>
      </w:r>
      <w:r w:rsidR="006F2966" w:rsidRPr="00715A61">
        <w:t xml:space="preserve"> </w:t>
      </w:r>
      <w:r w:rsidR="003C0B28" w:rsidRPr="00715A61">
        <w:t>указанные</w:t>
      </w:r>
      <w:r w:rsidR="006F2966" w:rsidRPr="00715A61">
        <w:t xml:space="preserve"> граждане и внеочередной приём по причине наличия </w:t>
      </w:r>
      <w:r w:rsidR="004E50B5" w:rsidRPr="00715A61">
        <w:t xml:space="preserve"> </w:t>
      </w:r>
      <w:r w:rsidR="006F2966" w:rsidRPr="00715A61">
        <w:t xml:space="preserve">психического расстройства  </w:t>
      </w:r>
      <w:r w:rsidR="003C0B28" w:rsidRPr="00715A61">
        <w:t>невозможен (в случае наличия очереди, такая очередь будет состоять только из лиц, страдающих психическим расстройством).</w:t>
      </w:r>
      <w:r w:rsidR="0095114A" w:rsidRPr="00715A61">
        <w:t xml:space="preserve"> Получателями ежегодной денежной выплаты в 2021 году </w:t>
      </w:r>
      <w:r w:rsidR="0095114A" w:rsidRPr="00715A61">
        <w:lastRenderedPageBreak/>
        <w:t xml:space="preserve">являлось 2,8 тыс. </w:t>
      </w:r>
      <w:r w:rsidR="009F419C" w:rsidRPr="00715A61">
        <w:t>человек</w:t>
      </w:r>
      <w:r w:rsidR="0095114A" w:rsidRPr="00715A61">
        <w:t>.</w:t>
      </w:r>
      <w:r w:rsidR="006B2964">
        <w:t xml:space="preserve"> Граждан, страдающих психическим расстройством, имеющим инвалидность 11,0 тыс. человек</w:t>
      </w:r>
      <w:r w:rsidR="001577BE">
        <w:t>;</w:t>
      </w:r>
    </w:p>
    <w:p w:rsidR="001577BE" w:rsidRDefault="00F02265" w:rsidP="001577BE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8"/>
        <w:jc w:val="both"/>
      </w:pPr>
      <w:r w:rsidRPr="00715A61">
        <w:t xml:space="preserve">в Закон Ульяновской области от 2 ноября 2011 года № 180-ЗО </w:t>
      </w:r>
      <w:r w:rsidR="001577BE">
        <w:br/>
      </w:r>
      <w:r w:rsidRPr="00715A61">
        <w:t xml:space="preserve">«О некоторых мерах по улучшению демографической ситуации </w:t>
      </w:r>
      <w:r w:rsidRPr="00715A61">
        <w:br/>
        <w:t>в Ульяновской области»</w:t>
      </w:r>
      <w:r w:rsidR="001577BE">
        <w:t>.</w:t>
      </w:r>
    </w:p>
    <w:p w:rsidR="001E6906" w:rsidRDefault="001577BE" w:rsidP="001577BE">
      <w:pPr>
        <w:pStyle w:val="a3"/>
        <w:tabs>
          <w:tab w:val="left" w:pos="1134"/>
        </w:tabs>
        <w:spacing w:after="0" w:line="360" w:lineRule="auto"/>
        <w:ind w:left="708"/>
        <w:jc w:val="both"/>
      </w:pPr>
      <w:r>
        <w:t>П</w:t>
      </w:r>
      <w:r w:rsidR="00F02265" w:rsidRPr="00715A61">
        <w:t>редусматривает</w:t>
      </w:r>
      <w:r>
        <w:t>ся</w:t>
      </w:r>
      <w:r w:rsidR="001E6906">
        <w:t>:</w:t>
      </w:r>
    </w:p>
    <w:p w:rsidR="0044422C" w:rsidRPr="00715A61" w:rsidRDefault="00BD288D" w:rsidP="006B2964">
      <w:pPr>
        <w:spacing w:after="0" w:line="360" w:lineRule="auto"/>
        <w:ind w:firstLine="708"/>
        <w:jc w:val="both"/>
      </w:pPr>
      <w:r w:rsidRPr="00BD288D">
        <w:t>во-первых,</w:t>
      </w:r>
      <w:r w:rsidR="0013371B" w:rsidRPr="00BD288D">
        <w:t xml:space="preserve"> </w:t>
      </w:r>
      <w:r w:rsidR="001E6906" w:rsidRPr="00BD288D">
        <w:t xml:space="preserve">изменение </w:t>
      </w:r>
      <w:r w:rsidR="001E6906">
        <w:t xml:space="preserve">условий, при которых семьям, в случае рождения четвёртого или последующих детей предоставляется единовременная выплата </w:t>
      </w:r>
      <w:r w:rsidR="00B62C23">
        <w:br/>
      </w:r>
      <w:r w:rsidR="001E6906">
        <w:t>в целях улучшения жилищных условий</w:t>
      </w:r>
      <w:r w:rsidR="00254995">
        <w:t>.</w:t>
      </w:r>
    </w:p>
    <w:p w:rsidR="0013371B" w:rsidRDefault="00B62C23" w:rsidP="0013371B">
      <w:pPr>
        <w:spacing w:after="0" w:line="360" w:lineRule="auto"/>
        <w:ind w:firstLine="708"/>
        <w:jc w:val="both"/>
      </w:pPr>
      <w:r>
        <w:t xml:space="preserve">Единовременная выплата </w:t>
      </w:r>
      <w:r w:rsidRPr="00715A61">
        <w:t xml:space="preserve">не является регулярной и предоставляется </w:t>
      </w:r>
      <w:r>
        <w:br/>
        <w:t xml:space="preserve">от 120 до 185 получателям в год, тогда как </w:t>
      </w:r>
      <w:r w:rsidR="00B37C6D" w:rsidRPr="00715A61">
        <w:t xml:space="preserve">для областного бюджета </w:t>
      </w:r>
      <w:r>
        <w:t xml:space="preserve">затраты значительные </w:t>
      </w:r>
      <w:r w:rsidR="00B37C6D" w:rsidRPr="00715A61">
        <w:t>- 191 млн. рублей в 2021 году. Кроме того, она не носит выраженного стимулирующего во</w:t>
      </w:r>
      <w:r w:rsidR="002D7657">
        <w:t>здействия на рождение 4-х детей.</w:t>
      </w:r>
      <w:r w:rsidR="006B2964">
        <w:t xml:space="preserve"> </w:t>
      </w:r>
    </w:p>
    <w:p w:rsidR="00B37C6D" w:rsidRDefault="00B37C6D" w:rsidP="006B2964">
      <w:pPr>
        <w:spacing w:after="0" w:line="360" w:lineRule="auto"/>
        <w:ind w:firstLine="708"/>
        <w:jc w:val="both"/>
      </w:pPr>
      <w:r w:rsidRPr="00715A61">
        <w:t xml:space="preserve">Из анализа сертификатов, выданных на единовременную выплату </w:t>
      </w:r>
      <w:r w:rsidR="004161A9">
        <w:br/>
      </w:r>
      <w:r w:rsidRPr="00715A61">
        <w:t xml:space="preserve">в 2019-2021 годах, следует, что за её получением семьи обращаются </w:t>
      </w:r>
      <w:r w:rsidR="00782899">
        <w:br/>
      </w:r>
      <w:r w:rsidRPr="00715A61">
        <w:t xml:space="preserve">по истечении 2-3 лет после рождения ребёнка. На этом основании следует вывод, что при решении вопроса о рождении четвёртого или последующего ребёнка возможность получения единовременной выплаты не являлась стимулирующим фактором. Этот вывод подтверждает также тот факт, </w:t>
      </w:r>
      <w:r w:rsidR="008754D8">
        <w:br/>
      </w:r>
      <w:r w:rsidRPr="00715A61">
        <w:t xml:space="preserve">что  большая часть жилья, купленного с использованием выплаты (72%), </w:t>
      </w:r>
      <w:proofErr w:type="gramStart"/>
      <w:r w:rsidRPr="00715A61">
        <w:t>была приобретена на вторичном рынке и имеет</w:t>
      </w:r>
      <w:proofErr w:type="gramEnd"/>
      <w:r w:rsidRPr="00715A61">
        <w:t xml:space="preserve"> низкое качество. Это т</w:t>
      </w:r>
      <w:r w:rsidR="002D7657">
        <w:t>ак</w:t>
      </w:r>
      <w:r w:rsidRPr="00715A61">
        <w:t xml:space="preserve"> н</w:t>
      </w:r>
      <w:r w:rsidR="002D7657">
        <w:t>азываемые</w:t>
      </w:r>
      <w:r w:rsidR="004161A9">
        <w:t xml:space="preserve"> «</w:t>
      </w:r>
      <w:proofErr w:type="spellStart"/>
      <w:r w:rsidR="004161A9">
        <w:t>хрущё</w:t>
      </w:r>
      <w:r w:rsidRPr="00715A61">
        <w:t>вки</w:t>
      </w:r>
      <w:proofErr w:type="spellEnd"/>
      <w:r w:rsidRPr="00715A61">
        <w:t xml:space="preserve">», комнаты гостиничного типа, жилые частные дома различных годов постройки. И только 28% - это относительно новое и качественное жилье, приобретаемое, в том числе, на первичном рынке. Из них менее 9% имеют достаточную площадь для проживания семей с 4-мя детьми. Всего 21% жилья приобретается с использованием ипотечных кредитов. </w:t>
      </w:r>
      <w:r w:rsidR="001E6906">
        <w:t>О</w:t>
      </w:r>
      <w:r w:rsidRPr="00715A61">
        <w:t xml:space="preserve">сновная часть приобретаемого жилья фактически не улучшает жилищные условия семей, являясь просто вложением средств в недвижимость для иных целей. Кроме того, такое жилье приобретается в основном на вторичном рынке, </w:t>
      </w:r>
      <w:r w:rsidR="00782899">
        <w:br/>
      </w:r>
      <w:r w:rsidRPr="00715A61">
        <w:t>не стимулируя развитие жилищного строительства.</w:t>
      </w:r>
    </w:p>
    <w:p w:rsidR="0013371B" w:rsidRPr="00BD288D" w:rsidRDefault="0013371B" w:rsidP="0013371B">
      <w:pPr>
        <w:spacing w:after="0" w:line="360" w:lineRule="auto"/>
        <w:ind w:firstLine="708"/>
        <w:jc w:val="both"/>
      </w:pPr>
      <w:proofErr w:type="gramStart"/>
      <w:r w:rsidRPr="00BD288D">
        <w:lastRenderedPageBreak/>
        <w:t xml:space="preserve">В связи с изложенным вносится изменение, в соответствие с которым предоставление единовременной выплаты </w:t>
      </w:r>
      <w:r w:rsidR="00BD288D" w:rsidRPr="00BD288D">
        <w:t xml:space="preserve">будет осуществляться </w:t>
      </w:r>
      <w:r w:rsidRPr="00BD288D">
        <w:t>для семей, четвёрт</w:t>
      </w:r>
      <w:r w:rsidR="00BD288D" w:rsidRPr="00BD288D">
        <w:t>ый</w:t>
      </w:r>
      <w:r w:rsidRPr="00BD288D">
        <w:t xml:space="preserve"> или последующ</w:t>
      </w:r>
      <w:r w:rsidR="00BD288D" w:rsidRPr="00BD288D">
        <w:t>ий</w:t>
      </w:r>
      <w:r w:rsidRPr="00BD288D">
        <w:t xml:space="preserve"> ребён</w:t>
      </w:r>
      <w:r w:rsidR="00BD288D" w:rsidRPr="00BD288D">
        <w:t>о</w:t>
      </w:r>
      <w:r w:rsidRPr="00BD288D">
        <w:t>к</w:t>
      </w:r>
      <w:r w:rsidR="00BD288D" w:rsidRPr="00BD288D">
        <w:t xml:space="preserve"> в которых родится  </w:t>
      </w:r>
      <w:r w:rsidRPr="00BD288D">
        <w:t xml:space="preserve">до </w:t>
      </w:r>
      <w:smartTag w:uri="urn:schemas-microsoft-com:office:smarttags" w:element="date">
        <w:smartTagPr>
          <w:attr w:name="Year" w:val="2023"/>
          <w:attr w:name="Day" w:val="1"/>
          <w:attr w:name="Month" w:val="4"/>
          <w:attr w:name="ls" w:val="trans"/>
        </w:smartTagPr>
        <w:r w:rsidRPr="00BD288D">
          <w:t>1 апреля 2023 года</w:t>
        </w:r>
      </w:smartTag>
      <w:r w:rsidRPr="00BD288D">
        <w:t xml:space="preserve"> и семья обратится за единовременной выплатой не позднее </w:t>
      </w:r>
      <w:smartTag w:uri="urn:schemas-microsoft-com:office:smarttags" w:element="date">
        <w:smartTagPr>
          <w:attr w:name="Year" w:val="2023"/>
          <w:attr w:name="Day" w:val="31"/>
          <w:attr w:name="Month" w:val="12"/>
          <w:attr w:name="ls" w:val="trans"/>
        </w:smartTagPr>
        <w:r w:rsidRPr="00BD288D">
          <w:t>31 декабря 2023 года</w:t>
        </w:r>
      </w:smartTag>
      <w:r w:rsidRPr="00BD288D">
        <w:t>;</w:t>
      </w:r>
      <w:proofErr w:type="gramEnd"/>
    </w:p>
    <w:p w:rsidR="0044422C" w:rsidRPr="00715A61" w:rsidRDefault="00BD288D" w:rsidP="0013371B">
      <w:pPr>
        <w:spacing w:after="0" w:line="360" w:lineRule="auto"/>
        <w:ind w:firstLine="708"/>
        <w:jc w:val="both"/>
      </w:pPr>
      <w:r w:rsidRPr="00BD288D">
        <w:t>в</w:t>
      </w:r>
      <w:r w:rsidR="0013371B" w:rsidRPr="00BD288D">
        <w:t>о вторых</w:t>
      </w:r>
      <w:r w:rsidRPr="00BD288D">
        <w:t>,</w:t>
      </w:r>
      <w:r w:rsidR="0013371B" w:rsidRPr="00BD288D">
        <w:t xml:space="preserve"> </w:t>
      </w:r>
      <w:r w:rsidR="0044422C" w:rsidRPr="00BD288D">
        <w:t xml:space="preserve">отмену </w:t>
      </w:r>
      <w:r w:rsidR="00952250" w:rsidRPr="00BD288D">
        <w:t>условия</w:t>
      </w:r>
      <w:r w:rsidR="00D40B85" w:rsidRPr="00715A61">
        <w:t xml:space="preserve">, согласно которому семьи, воспользовавшиеся правом на получение </w:t>
      </w:r>
      <w:r w:rsidR="00952250" w:rsidRPr="00715A61">
        <w:t xml:space="preserve">земельного участка </w:t>
      </w:r>
      <w:r w:rsidR="00D40B85" w:rsidRPr="00715A61">
        <w:t xml:space="preserve">в собственность бесплатно, не имеют права на </w:t>
      </w:r>
      <w:r w:rsidR="0044422C" w:rsidRPr="00715A61">
        <w:t>единовременн</w:t>
      </w:r>
      <w:r w:rsidR="00D40B85" w:rsidRPr="00715A61">
        <w:t>ую</w:t>
      </w:r>
      <w:r w:rsidR="0044422C" w:rsidRPr="00715A61">
        <w:t xml:space="preserve"> денежн</w:t>
      </w:r>
      <w:r w:rsidR="00D40B85" w:rsidRPr="00715A61">
        <w:t>ую</w:t>
      </w:r>
      <w:r w:rsidR="0044422C" w:rsidRPr="00715A61">
        <w:t xml:space="preserve"> выплат</w:t>
      </w:r>
      <w:r w:rsidR="00D40B85" w:rsidRPr="00715A61">
        <w:t>у</w:t>
      </w:r>
      <w:r w:rsidR="0044422C" w:rsidRPr="00715A61">
        <w:t xml:space="preserve"> на оплату приобретаемого </w:t>
      </w:r>
      <w:r w:rsidR="00047DDC" w:rsidRPr="00715A61">
        <w:br/>
      </w:r>
      <w:r w:rsidR="0044422C" w:rsidRPr="00715A61">
        <w:t>жилого помещения</w:t>
      </w:r>
      <w:r w:rsidR="00952250" w:rsidRPr="00715A61">
        <w:t>.</w:t>
      </w:r>
      <w:r w:rsidR="0044422C" w:rsidRPr="00715A61">
        <w:t xml:space="preserve"> </w:t>
      </w:r>
      <w:r w:rsidR="00FB0E01" w:rsidRPr="00715A61">
        <w:t xml:space="preserve">Отмена указанного </w:t>
      </w:r>
      <w:r w:rsidR="00D40B85" w:rsidRPr="00715A61">
        <w:t>ограничения</w:t>
      </w:r>
      <w:r w:rsidR="00FB0E01" w:rsidRPr="00715A61">
        <w:t xml:space="preserve"> связана с </w:t>
      </w:r>
      <w:r w:rsidR="00784117" w:rsidRPr="00715A61">
        <w:t xml:space="preserve">его </w:t>
      </w:r>
      <w:r w:rsidR="00260286" w:rsidRPr="00715A61">
        <w:t>н</w:t>
      </w:r>
      <w:r w:rsidR="00784117" w:rsidRPr="00715A61">
        <w:t>ецелесообразностью</w:t>
      </w:r>
      <w:r w:rsidR="00D40B85" w:rsidRPr="00715A61">
        <w:t>, так как о</w:t>
      </w:r>
      <w:r w:rsidR="00784117" w:rsidRPr="00715A61">
        <w:t>граничени</w:t>
      </w:r>
      <w:r w:rsidR="00D40B85" w:rsidRPr="00715A61">
        <w:t>я</w:t>
      </w:r>
      <w:r w:rsidR="00784117" w:rsidRPr="00715A61">
        <w:t xml:space="preserve"> </w:t>
      </w:r>
      <w:r w:rsidR="00D40B85" w:rsidRPr="00715A61">
        <w:t xml:space="preserve">на получение земельного участка </w:t>
      </w:r>
      <w:r w:rsidR="00260286" w:rsidRPr="00715A61">
        <w:br/>
      </w:r>
      <w:r w:rsidR="00D40B85" w:rsidRPr="00715A61">
        <w:t xml:space="preserve">в собственность бесплатно для семей, получивших единовременную денежную выплату на оплату приобретаемого жилого </w:t>
      </w:r>
      <w:r w:rsidR="00D40B85" w:rsidRPr="00BD288D">
        <w:t xml:space="preserve">помещения, </w:t>
      </w:r>
      <w:r w:rsidR="0013371B" w:rsidRPr="00BD288D">
        <w:t xml:space="preserve">Законом Ульяновской области </w:t>
      </w:r>
      <w:r w:rsidRPr="00BD288D">
        <w:t xml:space="preserve">от 17 ноября 2003 года № 059-ЗО «О регулировании земельных отношений в Ульяновской области </w:t>
      </w:r>
      <w:r w:rsidR="00D40B85" w:rsidRPr="00BD288D">
        <w:t xml:space="preserve">не установлено. </w:t>
      </w:r>
      <w:r w:rsidR="00D40B85" w:rsidRPr="00715A61">
        <w:t>Соответственно семьи могут реализовать обе возможности для улучшения своих жилищных условий, только соблюдая определённый порядок – на первом этапе получить единовременную денежную выплату на оплату приобретаемого жилого</w:t>
      </w:r>
      <w:r w:rsidR="006F3964" w:rsidRPr="00715A61">
        <w:t xml:space="preserve"> помещения</w:t>
      </w:r>
      <w:r w:rsidR="00D40B85" w:rsidRPr="00715A61">
        <w:t xml:space="preserve">, а затем воспользоваться правом </w:t>
      </w:r>
      <w:r w:rsidR="00784117" w:rsidRPr="00715A61">
        <w:t xml:space="preserve">на получение земельного участка </w:t>
      </w:r>
      <w:r w:rsidR="00782899">
        <w:br/>
      </w:r>
      <w:r w:rsidR="00784117" w:rsidRPr="00715A61">
        <w:t>в собственность бесплатно</w:t>
      </w:r>
      <w:r w:rsidR="001577BE">
        <w:t>;</w:t>
      </w:r>
    </w:p>
    <w:p w:rsidR="00B62C23" w:rsidRDefault="007C45FC" w:rsidP="001577BE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8"/>
        <w:jc w:val="both"/>
      </w:pPr>
      <w:r w:rsidRPr="00715A61">
        <w:t xml:space="preserve">в Закон Ульяновской области от 31 августа 2012 года № 113-ЗО </w:t>
      </w:r>
      <w:r w:rsidR="001577BE">
        <w:br/>
      </w:r>
      <w:r w:rsidRPr="00715A61">
        <w:t>«О ежемесячной денежной выплате на ребёнка до достижения им возраста трёх лет»</w:t>
      </w:r>
      <w:r w:rsidR="00B62C23">
        <w:t>.</w:t>
      </w:r>
      <w:r w:rsidRPr="00715A61">
        <w:t xml:space="preserve"> </w:t>
      </w:r>
      <w:r w:rsidR="00B62C23">
        <w:t xml:space="preserve"> </w:t>
      </w:r>
    </w:p>
    <w:p w:rsidR="002C5188" w:rsidRPr="00715A61" w:rsidRDefault="00B62C23" w:rsidP="00B62C23">
      <w:pPr>
        <w:pStyle w:val="a3"/>
        <w:tabs>
          <w:tab w:val="left" w:pos="1134"/>
        </w:tabs>
        <w:spacing w:after="0" w:line="360" w:lineRule="auto"/>
        <w:ind w:left="0" w:firstLine="709"/>
        <w:jc w:val="both"/>
      </w:pPr>
      <w:r>
        <w:t>П</w:t>
      </w:r>
      <w:r w:rsidR="007C45FC" w:rsidRPr="00715A61">
        <w:t>редусматривает</w:t>
      </w:r>
      <w:r>
        <w:t>ся</w:t>
      </w:r>
      <w:r w:rsidR="007C45FC" w:rsidRPr="00715A61">
        <w:t xml:space="preserve"> измен</w:t>
      </w:r>
      <w:r w:rsidR="00252741" w:rsidRPr="00715A61">
        <w:t>ение критерия</w:t>
      </w:r>
      <w:r w:rsidR="007C45FC" w:rsidRPr="00715A61">
        <w:t xml:space="preserve"> нуждаемости</w:t>
      </w:r>
      <w:r w:rsidR="00252741" w:rsidRPr="00715A61">
        <w:t>.</w:t>
      </w:r>
      <w:r w:rsidR="007C45FC" w:rsidRPr="00715A61">
        <w:t xml:space="preserve"> </w:t>
      </w:r>
      <w:proofErr w:type="gramStart"/>
      <w:r w:rsidR="00252741" w:rsidRPr="00715A61">
        <w:t>В</w:t>
      </w:r>
      <w:r w:rsidR="007C45FC" w:rsidRPr="00715A61">
        <w:t xml:space="preserve"> соотв</w:t>
      </w:r>
      <w:r w:rsidR="00252741" w:rsidRPr="00715A61">
        <w:t xml:space="preserve">етствии </w:t>
      </w:r>
      <w:r>
        <w:br/>
      </w:r>
      <w:r w:rsidR="00252741" w:rsidRPr="00715A61">
        <w:t>с положениями пункта 5</w:t>
      </w:r>
      <w:r w:rsidR="00252741" w:rsidRPr="001577BE">
        <w:rPr>
          <w:vertAlign w:val="superscript"/>
        </w:rPr>
        <w:t xml:space="preserve">1 </w:t>
      </w:r>
      <w:r w:rsidR="007C45FC" w:rsidRPr="00715A61">
        <w:t xml:space="preserve">Правил предоставления и распределения субсидий </w:t>
      </w:r>
      <w:r w:rsidR="00782899">
        <w:br/>
      </w:r>
      <w:r w:rsidR="007C45FC" w:rsidRPr="00715A61">
        <w:t xml:space="preserve">из федерального бюджета бюджетам субъектов Российской Федерации в целях софинансирования расходных обязательств субъектов </w:t>
      </w:r>
      <w:r w:rsidR="006F3964" w:rsidRPr="00715A61">
        <w:t>Р</w:t>
      </w:r>
      <w:r w:rsidR="007C45FC" w:rsidRPr="00715A61">
        <w:t xml:space="preserve">оссийской </w:t>
      </w:r>
      <w:r w:rsidR="006F3964" w:rsidRPr="00715A61">
        <w:t>Ф</w:t>
      </w:r>
      <w:r w:rsidR="007C45FC" w:rsidRPr="00715A61">
        <w:t xml:space="preserve">едерации, связанных с достижением результатов федерального проекта «Финансовая поддержка семей при рождении детей», входящего в состав национального проекта «демография», посредством осуществления ежемесячной денежной выплаты, предусмотренной пунктом 2 Указа Президента Российской </w:t>
      </w:r>
      <w:r w:rsidR="007C45FC" w:rsidRPr="00715A61">
        <w:lastRenderedPageBreak/>
        <w:t>Федерации от 7 мая 2012</w:t>
      </w:r>
      <w:proofErr w:type="gramEnd"/>
      <w:r w:rsidR="007C45FC" w:rsidRPr="00715A61">
        <w:t xml:space="preserve"> </w:t>
      </w:r>
      <w:proofErr w:type="gramStart"/>
      <w:r w:rsidR="007C45FC" w:rsidRPr="00715A61">
        <w:t xml:space="preserve">г. № 606 «О мерах по реализации демографической политики Российской Федерации», </w:t>
      </w:r>
      <w:r w:rsidR="00252741" w:rsidRPr="00715A61">
        <w:t xml:space="preserve">являющихся приложением № 7 </w:t>
      </w:r>
      <w:r>
        <w:br/>
      </w:r>
      <w:r w:rsidR="00252741" w:rsidRPr="00715A61">
        <w:t xml:space="preserve">к государственной программе Российской Федерации «Социальная поддержка граждан», утверждённой </w:t>
      </w:r>
      <w:r w:rsidR="007C45FC" w:rsidRPr="00715A61">
        <w:t>постановлени</w:t>
      </w:r>
      <w:r w:rsidR="00252741" w:rsidRPr="00715A61">
        <w:t>ем</w:t>
      </w:r>
      <w:r w:rsidR="007C45FC" w:rsidRPr="00715A61">
        <w:t xml:space="preserve"> Правительства РФ от 15.04.2014</w:t>
      </w:r>
      <w:r>
        <w:br/>
      </w:r>
      <w:r w:rsidR="007C45FC" w:rsidRPr="00715A61">
        <w:t xml:space="preserve">№ 296 «Об утверждении государственной программы Российской </w:t>
      </w:r>
      <w:r>
        <w:br/>
      </w:r>
      <w:r w:rsidR="007C45FC" w:rsidRPr="00715A61">
        <w:t xml:space="preserve">Федерации «Социальная поддержка граждан» </w:t>
      </w:r>
      <w:r w:rsidR="00133C97" w:rsidRPr="00715A61">
        <w:t xml:space="preserve">субсидии предоставляются </w:t>
      </w:r>
      <w:r>
        <w:br/>
      </w:r>
      <w:r w:rsidR="00133C97" w:rsidRPr="00715A61">
        <w:t xml:space="preserve">на софинансирование ежемесячных денежных выплат семьям </w:t>
      </w:r>
      <w:r>
        <w:br/>
      </w:r>
      <w:r w:rsidR="00133C97" w:rsidRPr="00715A61">
        <w:t xml:space="preserve">со среднедушевым доходом, не превышающим двукратную величину прожиточного минимума трудоспособного населения, установленную </w:t>
      </w:r>
      <w:r w:rsidR="00047DDC" w:rsidRPr="00715A61">
        <w:br/>
      </w:r>
      <w:r w:rsidR="00133C97" w:rsidRPr="00715A61">
        <w:t>в субъекте Российской</w:t>
      </w:r>
      <w:proofErr w:type="gramEnd"/>
      <w:r w:rsidR="00133C97" w:rsidRPr="00715A61">
        <w:t xml:space="preserve"> Федерации на год обращения за назначением ежемесячной денежной выплаты. </w:t>
      </w:r>
      <w:proofErr w:type="gramStart"/>
      <w:r w:rsidR="00133C97" w:rsidRPr="00715A61">
        <w:t xml:space="preserve">Таком образом, </w:t>
      </w:r>
      <w:r w:rsidR="007C45FC" w:rsidRPr="00715A61">
        <w:t xml:space="preserve">вместо среднедушевого денежного дохода, устанавливаемого Правительством Ульяновской области специально для определения права на </w:t>
      </w:r>
      <w:r w:rsidR="00133C97" w:rsidRPr="00715A61">
        <w:t xml:space="preserve">ежемесячную денежную </w:t>
      </w:r>
      <w:r w:rsidR="007C45FC" w:rsidRPr="00715A61">
        <w:t>выплату</w:t>
      </w:r>
      <w:r w:rsidR="00133C97" w:rsidRPr="00715A61">
        <w:t xml:space="preserve"> при рождении третьего ребёнка</w:t>
      </w:r>
      <w:r w:rsidR="007C45FC" w:rsidRPr="00715A61">
        <w:t xml:space="preserve">, введена величина кратная </w:t>
      </w:r>
      <w:r w:rsidR="00252741" w:rsidRPr="00715A61">
        <w:t>двум</w:t>
      </w:r>
      <w:r w:rsidR="007C45FC" w:rsidRPr="00715A61">
        <w:t xml:space="preserve"> прожиточным минимумам, установленным для трудоспособного </w:t>
      </w:r>
      <w:r w:rsidR="004135DF" w:rsidRPr="00715A61">
        <w:t>населения в Ульяновской области.</w:t>
      </w:r>
      <w:proofErr w:type="gramEnd"/>
      <w:r w:rsidR="004135DF" w:rsidRPr="00715A61">
        <w:t xml:space="preserve"> В 2022 году данные величины составляют: среднедушевой денежный доход – 27000 рублей, 2-х кратный прожиточный минимум для трудоспособного населения в Ульяновской области – 27008 рублей. </w:t>
      </w:r>
    </w:p>
    <w:p w:rsidR="0013371B" w:rsidRPr="00F9183C" w:rsidRDefault="008E1D7E" w:rsidP="0013371B">
      <w:pPr>
        <w:spacing w:after="0" w:line="360" w:lineRule="auto"/>
        <w:ind w:firstLine="708"/>
        <w:jc w:val="both"/>
        <w:rPr>
          <w:color w:val="FF0000"/>
        </w:rPr>
      </w:pPr>
      <w:r w:rsidRPr="00715A61">
        <w:t xml:space="preserve">Кроме того, изменяется срок, на который назначается ежемесячная денежная выплата. Ежемесячная денежная выплата на третьего ребёнка будет назначаться </w:t>
      </w:r>
      <w:proofErr w:type="gramStart"/>
      <w:r w:rsidRPr="00715A61">
        <w:t>на те</w:t>
      </w:r>
      <w:proofErr w:type="gramEnd"/>
      <w:r w:rsidRPr="00715A61">
        <w:t xml:space="preserve"> же сроки, что и ежемесячная денежная выплата на первого </w:t>
      </w:r>
      <w:r w:rsidR="002C5188" w:rsidRPr="00715A61">
        <w:br/>
      </w:r>
      <w:r w:rsidRPr="00715A61">
        <w:t xml:space="preserve">и второго ребёнка в соответствии с </w:t>
      </w:r>
      <w:r w:rsidRPr="00BD288D">
        <w:t xml:space="preserve">федеральным законодательством, </w:t>
      </w:r>
      <w:r w:rsidR="002C5188" w:rsidRPr="00BD288D">
        <w:br/>
      </w:r>
      <w:r w:rsidRPr="00BD288D">
        <w:t>т.е. до достижения одного</w:t>
      </w:r>
      <w:r w:rsidR="002C5188" w:rsidRPr="00BD288D">
        <w:t xml:space="preserve"> года, двух лет и трёх лет.</w:t>
      </w:r>
      <w:r w:rsidR="006B2964" w:rsidRPr="00BD288D">
        <w:t xml:space="preserve"> </w:t>
      </w:r>
      <w:r w:rsidR="0013371B" w:rsidRPr="00BD288D">
        <w:t xml:space="preserve">В настоящее время </w:t>
      </w:r>
      <w:r w:rsidR="00BD288D" w:rsidRPr="00BD288D">
        <w:t xml:space="preserve">ежемесячная денежная выплата на третьего ребёнка </w:t>
      </w:r>
      <w:r w:rsidR="0013371B" w:rsidRPr="00BD288D">
        <w:t xml:space="preserve">назначается на </w:t>
      </w:r>
      <w:r w:rsidR="00BD288D" w:rsidRPr="00BD288D">
        <w:t xml:space="preserve">1,5 года. </w:t>
      </w:r>
      <w:r w:rsidR="0013371B" w:rsidRPr="00BD288D">
        <w:t xml:space="preserve">Это позволит повысить адресность выплаты за счет более качественной оценки нуждаемость семей </w:t>
      </w:r>
      <w:r w:rsidR="00B62C23">
        <w:t>с</w:t>
      </w:r>
      <w:r w:rsidR="0013371B" w:rsidRPr="00BD288D">
        <w:t xml:space="preserve"> детьми.</w:t>
      </w:r>
    </w:p>
    <w:p w:rsidR="00EE0C97" w:rsidRPr="00715A61" w:rsidRDefault="009F419C" w:rsidP="006B2964">
      <w:pPr>
        <w:spacing w:after="0" w:line="360" w:lineRule="auto"/>
        <w:ind w:firstLine="708"/>
        <w:jc w:val="both"/>
      </w:pPr>
      <w:r w:rsidRPr="00715A61">
        <w:t>Получателями ежемесячной денежной выплаты</w:t>
      </w:r>
      <w:r w:rsidR="002C5188" w:rsidRPr="00715A61">
        <w:t xml:space="preserve"> на третьего ребёнка</w:t>
      </w:r>
      <w:r w:rsidRPr="00715A61">
        <w:t xml:space="preserve"> является более 5,0 тыс. семе</w:t>
      </w:r>
      <w:r w:rsidR="00B62C23">
        <w:t>й;</w:t>
      </w:r>
    </w:p>
    <w:p w:rsidR="00B62C23" w:rsidRDefault="00252741" w:rsidP="00B62C23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8"/>
        <w:jc w:val="both"/>
      </w:pPr>
      <w:r w:rsidRPr="00715A61">
        <w:lastRenderedPageBreak/>
        <w:t xml:space="preserve">в Закон Ульяновской области от 3 октября 2014 года № 147-ЗО </w:t>
      </w:r>
      <w:r w:rsidR="00B62C23">
        <w:br/>
      </w:r>
      <w:r w:rsidRPr="00715A61">
        <w:t>«О правовом регулировании отдельных вопросов деятельности народных дружин»</w:t>
      </w:r>
      <w:r w:rsidR="00B62C23">
        <w:t>.</w:t>
      </w:r>
    </w:p>
    <w:p w:rsidR="0013371B" w:rsidRDefault="00B62C23" w:rsidP="00B62C23">
      <w:pPr>
        <w:pStyle w:val="a3"/>
        <w:tabs>
          <w:tab w:val="left" w:pos="1134"/>
        </w:tabs>
        <w:spacing w:after="0" w:line="360" w:lineRule="auto"/>
        <w:ind w:left="0" w:firstLine="708"/>
        <w:jc w:val="both"/>
      </w:pPr>
      <w:r>
        <w:t>П</w:t>
      </w:r>
      <w:r w:rsidR="00252741" w:rsidRPr="00715A61">
        <w:t>редусматривает</w:t>
      </w:r>
      <w:r>
        <w:t>ся</w:t>
      </w:r>
      <w:r w:rsidR="00252741" w:rsidRPr="00715A61">
        <w:t xml:space="preserve"> </w:t>
      </w:r>
      <w:r w:rsidR="00DA08A4" w:rsidRPr="00715A61">
        <w:t xml:space="preserve">установление ограничения на количество дежурств </w:t>
      </w:r>
      <w:r>
        <w:br/>
      </w:r>
      <w:r w:rsidR="00DA08A4" w:rsidRPr="00715A61">
        <w:t xml:space="preserve">по охране общественного порядка – не более 120 дежурств </w:t>
      </w:r>
      <w:r w:rsidR="004E3AC8" w:rsidRPr="00715A61">
        <w:t xml:space="preserve">(из расчёта двух </w:t>
      </w:r>
      <w:r w:rsidR="00DA08A4" w:rsidRPr="00715A61">
        <w:t>дежурств в неделю и дежурств в праздничные дни)</w:t>
      </w:r>
      <w:r w:rsidR="007225E4">
        <w:t xml:space="preserve">. </w:t>
      </w:r>
      <w:r w:rsidR="0013371B" w:rsidRPr="00BD288D">
        <w:t xml:space="preserve">Это позволит устранить формальный подход дружинников к участию в дежурствах и предпосылки </w:t>
      </w:r>
      <w:r w:rsidR="00782899">
        <w:br/>
      </w:r>
      <w:r w:rsidR="0013371B" w:rsidRPr="00BD288D">
        <w:t xml:space="preserve">к злоупотреблению при проведении и учете дежурств.  В 2021 году </w:t>
      </w:r>
      <w:r w:rsidR="00782899">
        <w:br/>
      </w:r>
      <w:r w:rsidR="0013371B" w:rsidRPr="00BD288D">
        <w:t xml:space="preserve">134 человека (10% от общей численности добровольных </w:t>
      </w:r>
      <w:r w:rsidR="0013371B">
        <w:t xml:space="preserve">дружинников) </w:t>
      </w:r>
      <w:r w:rsidR="00782899">
        <w:br/>
      </w:r>
      <w:r w:rsidR="0013371B" w:rsidRPr="007225E4">
        <w:t xml:space="preserve">из г. Ульяновска и Димитровграда отдежурили более 120 </w:t>
      </w:r>
      <w:r w:rsidR="0013371B" w:rsidRPr="00BD288D">
        <w:t>дежурств, а в ряде случаев количест</w:t>
      </w:r>
      <w:r w:rsidR="00BD288D" w:rsidRPr="00BD288D">
        <w:t>во дежурств могло доходить до 30</w:t>
      </w:r>
      <w:r w:rsidR="0013371B" w:rsidRPr="00BD288D">
        <w:t xml:space="preserve">0 в год. </w:t>
      </w:r>
    </w:p>
    <w:p w:rsidR="00EE0C97" w:rsidRPr="00715A61" w:rsidRDefault="007225E4" w:rsidP="006B2964">
      <w:pPr>
        <w:spacing w:after="0" w:line="360" w:lineRule="auto"/>
        <w:ind w:firstLine="709"/>
        <w:jc w:val="both"/>
      </w:pPr>
      <w:r>
        <w:t>П</w:t>
      </w:r>
      <w:r w:rsidR="009F419C" w:rsidRPr="00715A61">
        <w:t xml:space="preserve">олучателями ежегодной денежной выплаты за дежурства </w:t>
      </w:r>
      <w:r w:rsidR="00B62C23">
        <w:t>1,3 тыс. человек;</w:t>
      </w:r>
    </w:p>
    <w:p w:rsidR="00B62C23" w:rsidRDefault="00C3075E" w:rsidP="00B62C23">
      <w:pPr>
        <w:pStyle w:val="a3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8"/>
        <w:jc w:val="both"/>
      </w:pPr>
      <w:r>
        <w:t xml:space="preserve">в </w:t>
      </w:r>
      <w:r w:rsidR="00401332" w:rsidRPr="00715A61">
        <w:t xml:space="preserve">Закон Ульяновской области от 18 марта 2020 года № 22-ЗО </w:t>
      </w:r>
      <w:r w:rsidR="00B62C23">
        <w:br/>
      </w:r>
      <w:r w:rsidR="00401332" w:rsidRPr="00715A61">
        <w:t>«О единовременной</w:t>
      </w:r>
      <w:r w:rsidR="00433FF9">
        <w:t xml:space="preserve"> денежной выплате в связи с рождением первого ребёнка</w:t>
      </w:r>
      <w:r w:rsidR="00401332" w:rsidRPr="00715A61">
        <w:t>»</w:t>
      </w:r>
      <w:r w:rsidR="00B62C23">
        <w:t>.</w:t>
      </w:r>
      <w:r w:rsidR="00401332" w:rsidRPr="00715A61">
        <w:t xml:space="preserve"> </w:t>
      </w:r>
    </w:p>
    <w:p w:rsidR="00433FF9" w:rsidRDefault="00B62C23" w:rsidP="00B62C23">
      <w:pPr>
        <w:pStyle w:val="a3"/>
        <w:tabs>
          <w:tab w:val="left" w:pos="1134"/>
        </w:tabs>
        <w:spacing w:after="0" w:line="360" w:lineRule="auto"/>
        <w:ind w:left="0" w:firstLine="708"/>
        <w:jc w:val="both"/>
      </w:pPr>
      <w:r>
        <w:t>П</w:t>
      </w:r>
      <w:r w:rsidR="00237CF8" w:rsidRPr="00715A61">
        <w:t>редусматрива</w:t>
      </w:r>
      <w:r w:rsidR="00C3075E">
        <w:t>ет</w:t>
      </w:r>
      <w:r>
        <w:t>ся</w:t>
      </w:r>
      <w:r w:rsidR="00237CF8" w:rsidRPr="00715A61">
        <w:t xml:space="preserve"> </w:t>
      </w:r>
      <w:r w:rsidR="00C3075E">
        <w:t xml:space="preserve">изменение периода, рождение ребёнка в котором даёт право на получение </w:t>
      </w:r>
      <w:r w:rsidR="00C3075E" w:rsidRPr="00715A61">
        <w:t xml:space="preserve">женщинам в возрасте до 25 лет, родившим первого ребёнка </w:t>
      </w:r>
      <w:r w:rsidR="00237CF8" w:rsidRPr="00715A61">
        <w:t>единовременн</w:t>
      </w:r>
      <w:r w:rsidR="00C3075E">
        <w:t>ой денежной выплаты</w:t>
      </w:r>
      <w:r w:rsidR="00237CF8" w:rsidRPr="00715A61">
        <w:t xml:space="preserve"> в размере 100,0 тыс. рублей</w:t>
      </w:r>
      <w:r w:rsidR="00C3075E">
        <w:t xml:space="preserve">. </w:t>
      </w:r>
    </w:p>
    <w:p w:rsidR="0013371B" w:rsidRDefault="00433FF9" w:rsidP="0013371B">
      <w:pPr>
        <w:spacing w:after="0" w:line="360" w:lineRule="auto"/>
        <w:ind w:firstLine="709"/>
        <w:jc w:val="both"/>
      </w:pPr>
      <w:r>
        <w:t>С</w:t>
      </w:r>
      <w:r w:rsidR="00C3075E">
        <w:t xml:space="preserve"> 1 января 2020 года </w:t>
      </w:r>
      <w:r>
        <w:t xml:space="preserve">федеральным законодателем </w:t>
      </w:r>
      <w:r w:rsidR="00C3075E" w:rsidRPr="00715A61">
        <w:t>прав</w:t>
      </w:r>
      <w:r>
        <w:t>о</w:t>
      </w:r>
      <w:r w:rsidR="00C3075E" w:rsidRPr="00715A61">
        <w:t xml:space="preserve"> на получение материнского капитала </w:t>
      </w:r>
      <w:r>
        <w:t xml:space="preserve">было предоставлено женщинам, родившим первого ребёнка. Значительный размер </w:t>
      </w:r>
      <w:r w:rsidR="00723B78" w:rsidRPr="00715A61">
        <w:t>материнск</w:t>
      </w:r>
      <w:r>
        <w:t>ого</w:t>
      </w:r>
      <w:r w:rsidR="00723B78" w:rsidRPr="00715A61">
        <w:t xml:space="preserve"> капитал</w:t>
      </w:r>
      <w:r>
        <w:t xml:space="preserve">а  и его ежегодная индексация </w:t>
      </w:r>
      <w:r w:rsidRPr="00715A61">
        <w:t>(524,5 тыс. рублей в 2022 году, 589,6 тыс. рублей в 2023 году)</w:t>
      </w:r>
      <w:r>
        <w:t xml:space="preserve"> значительно снизили стимулирующий эффект от </w:t>
      </w:r>
      <w:r w:rsidRPr="00433FF9">
        <w:t xml:space="preserve">установленной Законом Ульяновской области «О единовременной денежной выплате в связи </w:t>
      </w:r>
      <w:r w:rsidR="007225E4">
        <w:br/>
      </w:r>
      <w:r w:rsidRPr="00433FF9">
        <w:t>с рождением первого ребёнка» единовременной денежной выплаты при рождении первого ребёнка.</w:t>
      </w:r>
      <w:r>
        <w:t xml:space="preserve"> </w:t>
      </w:r>
      <w:proofErr w:type="gramStart"/>
      <w:r>
        <w:t xml:space="preserve">Кроме того, </w:t>
      </w:r>
      <w:r w:rsidR="00723B78" w:rsidRPr="00715A61">
        <w:t>с 1 января 2023 года планируется введение универсального пособия на ребёнка от рождения до достижения ребёнком возраста 17 лет</w:t>
      </w:r>
      <w:r w:rsidR="00B77DE0" w:rsidRPr="00715A61">
        <w:t xml:space="preserve">, размер которого будет зависеть от среднедушевого дохода семьи и составит 50, 75 и 100 процентов прожиточного минимума, </w:t>
      </w:r>
      <w:r w:rsidR="00B77DE0" w:rsidRPr="00715A61">
        <w:lastRenderedPageBreak/>
        <w:t>установленного для детей</w:t>
      </w:r>
      <w:r w:rsidR="0013622A" w:rsidRPr="00715A61">
        <w:t xml:space="preserve"> (</w:t>
      </w:r>
      <w:r w:rsidR="00B77DE0" w:rsidRPr="00715A61">
        <w:t xml:space="preserve">2022 году </w:t>
      </w:r>
      <w:r w:rsidR="0013622A" w:rsidRPr="00715A61">
        <w:t>-</w:t>
      </w:r>
      <w:r w:rsidR="00B77DE0" w:rsidRPr="00715A61">
        <w:t xml:space="preserve"> 12502 рубля</w:t>
      </w:r>
      <w:r w:rsidR="0013622A" w:rsidRPr="00715A61">
        <w:t xml:space="preserve">, 12761 рубль – прогноз </w:t>
      </w:r>
      <w:r w:rsidR="007225E4">
        <w:br/>
      </w:r>
      <w:r w:rsidR="0013622A" w:rsidRPr="00715A61">
        <w:t>на 2023 год).</w:t>
      </w:r>
      <w:r w:rsidR="00723B78" w:rsidRPr="00715A61">
        <w:t xml:space="preserve">  </w:t>
      </w:r>
      <w:proofErr w:type="gramEnd"/>
    </w:p>
    <w:p w:rsidR="00EC211A" w:rsidRDefault="00EC211A" w:rsidP="0013371B">
      <w:pPr>
        <w:spacing w:after="0" w:line="360" w:lineRule="auto"/>
        <w:ind w:firstLine="708"/>
        <w:jc w:val="both"/>
      </w:pPr>
      <w:r>
        <w:t>Для семей, ожидающих рождение первого ребёнка в период подготовки настоящего законопроекта, предусматривается, что единовременную выплату получат женщины, родившие первого ребёнка до 1 апреля 2023 года,</w:t>
      </w:r>
      <w:r w:rsidR="0013371B">
        <w:t xml:space="preserve"> </w:t>
      </w:r>
      <w:r w:rsidR="00782899">
        <w:br/>
      </w:r>
      <w:r>
        <w:t xml:space="preserve">и обратившиеся за единовременной выплатой до 31 декабря 2023 года. </w:t>
      </w:r>
    </w:p>
    <w:p w:rsidR="00356E3A" w:rsidRDefault="0027154E" w:rsidP="00EC211A">
      <w:pPr>
        <w:spacing w:after="0" w:line="360" w:lineRule="auto"/>
        <w:ind w:firstLine="708"/>
        <w:jc w:val="both"/>
      </w:pPr>
      <w:r w:rsidRPr="0080788C">
        <w:t>Ответственное должностное лицо за разработку законопроекта</w:t>
      </w:r>
      <w:r w:rsidR="00356E3A">
        <w:t xml:space="preserve"> </w:t>
      </w:r>
      <w:r w:rsidR="006E507D">
        <w:t>референт</w:t>
      </w:r>
      <w:r w:rsidR="00356E3A">
        <w:t xml:space="preserve"> департамента методологии и нормотворчества Министерства семейной, демографической политики и социального благополуч</w:t>
      </w:r>
      <w:r w:rsidR="00831F1C">
        <w:t xml:space="preserve">ия Ульяновской области </w:t>
      </w:r>
      <w:r w:rsidR="006E507D">
        <w:t>Барабанова Светлана Олеговна</w:t>
      </w:r>
      <w:r w:rsidR="00831F1C">
        <w:t>.</w:t>
      </w:r>
    </w:p>
    <w:p w:rsidR="007225E4" w:rsidRDefault="007225E4" w:rsidP="00834657">
      <w:pPr>
        <w:spacing w:after="0" w:line="240" w:lineRule="auto"/>
        <w:jc w:val="both"/>
      </w:pPr>
      <w:bookmarkStart w:id="0" w:name="_GoBack"/>
    </w:p>
    <w:p w:rsidR="00834657" w:rsidRDefault="00834657" w:rsidP="00834657">
      <w:pPr>
        <w:spacing w:after="0" w:line="240" w:lineRule="auto"/>
        <w:jc w:val="both"/>
      </w:pPr>
    </w:p>
    <w:bookmarkEnd w:id="0"/>
    <w:p w:rsidR="00834657" w:rsidRDefault="001E6850" w:rsidP="006B2964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Министр </w:t>
      </w:r>
    </w:p>
    <w:p w:rsidR="001E6850" w:rsidRDefault="001E6850" w:rsidP="006B2964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социального </w:t>
      </w:r>
      <w:r w:rsidR="00E650EC">
        <w:rPr>
          <w:rFonts w:ascii="PT Astra Serif" w:hAnsi="PT Astra Serif" w:cs="Times New Roman"/>
          <w:sz w:val="28"/>
          <w:szCs w:val="28"/>
        </w:rPr>
        <w:t xml:space="preserve">развития </w:t>
      </w:r>
    </w:p>
    <w:p w:rsidR="00356E3A" w:rsidRDefault="001E6850" w:rsidP="006B2964">
      <w:pPr>
        <w:pStyle w:val="ConsPlusNormal"/>
        <w:jc w:val="both"/>
      </w:pPr>
      <w:r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</w:r>
      <w:r w:rsidR="00BD288D">
        <w:rPr>
          <w:rFonts w:ascii="PT Astra Serif" w:hAnsi="PT Astra Serif" w:cs="Times New Roman"/>
          <w:sz w:val="28"/>
          <w:szCs w:val="28"/>
        </w:rPr>
        <w:tab/>
      </w:r>
      <w:r w:rsidR="006351E6">
        <w:rPr>
          <w:rFonts w:ascii="PT Astra Serif" w:hAnsi="PT Astra Serif" w:cs="Times New Roman"/>
          <w:sz w:val="28"/>
          <w:szCs w:val="28"/>
        </w:rPr>
        <w:t>А.А.Тверскова</w:t>
      </w:r>
    </w:p>
    <w:sectPr w:rsidR="00356E3A" w:rsidSect="00715A61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D7A" w:rsidRDefault="00297D7A" w:rsidP="003751BC">
      <w:pPr>
        <w:spacing w:after="0" w:line="240" w:lineRule="auto"/>
      </w:pPr>
      <w:r>
        <w:separator/>
      </w:r>
    </w:p>
  </w:endnote>
  <w:endnote w:type="continuationSeparator" w:id="0">
    <w:p w:rsidR="00297D7A" w:rsidRDefault="00297D7A" w:rsidP="0037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D7A" w:rsidRDefault="00297D7A" w:rsidP="003751BC">
      <w:pPr>
        <w:spacing w:after="0" w:line="240" w:lineRule="auto"/>
      </w:pPr>
      <w:r>
        <w:separator/>
      </w:r>
    </w:p>
  </w:footnote>
  <w:footnote w:type="continuationSeparator" w:id="0">
    <w:p w:rsidR="00297D7A" w:rsidRDefault="00297D7A" w:rsidP="0037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546608"/>
      <w:docPartObj>
        <w:docPartGallery w:val="Page Numbers (Top of Page)"/>
        <w:docPartUnique/>
      </w:docPartObj>
    </w:sdtPr>
    <w:sdtEndPr/>
    <w:sdtContent>
      <w:p w:rsidR="003751BC" w:rsidRDefault="003751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657">
          <w:rPr>
            <w:noProof/>
          </w:rPr>
          <w:t>11</w:t>
        </w:r>
        <w:r>
          <w:fldChar w:fldCharType="end"/>
        </w:r>
      </w:p>
    </w:sdtContent>
  </w:sdt>
  <w:p w:rsidR="003751BC" w:rsidRDefault="003751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8A7"/>
    <w:multiLevelType w:val="hybridMultilevel"/>
    <w:tmpl w:val="A3CAF22E"/>
    <w:lvl w:ilvl="0" w:tplc="8CC27A60">
      <w:start w:val="1"/>
      <w:numFmt w:val="decimal"/>
      <w:lvlText w:val="%1."/>
      <w:lvlJc w:val="left"/>
      <w:pPr>
        <w:ind w:left="360" w:hanging="360"/>
      </w:pPr>
      <w:rPr>
        <w:rFonts w:ascii="PT Astra Serif" w:hAnsi="PT Astra Serif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E7377"/>
    <w:multiLevelType w:val="hybridMultilevel"/>
    <w:tmpl w:val="2B000F5C"/>
    <w:lvl w:ilvl="0" w:tplc="80A84CB4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75683C"/>
    <w:multiLevelType w:val="hybridMultilevel"/>
    <w:tmpl w:val="12AEE5F4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3761523C"/>
    <w:multiLevelType w:val="hybridMultilevel"/>
    <w:tmpl w:val="3ABCAA56"/>
    <w:lvl w:ilvl="0" w:tplc="D3AA99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B265E0"/>
    <w:multiLevelType w:val="hybridMultilevel"/>
    <w:tmpl w:val="9F54F290"/>
    <w:lvl w:ilvl="0" w:tplc="A6AA6E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8B16B3"/>
    <w:multiLevelType w:val="hybridMultilevel"/>
    <w:tmpl w:val="E3A6078C"/>
    <w:lvl w:ilvl="0" w:tplc="8CC27A60">
      <w:start w:val="1"/>
      <w:numFmt w:val="decimal"/>
      <w:lvlText w:val="%1."/>
      <w:lvlJc w:val="left"/>
      <w:pPr>
        <w:ind w:left="720" w:hanging="360"/>
      </w:pPr>
      <w:rPr>
        <w:rFonts w:ascii="PT Astra Serif" w:hAnsi="PT Astra Serif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A30FBB"/>
    <w:multiLevelType w:val="hybridMultilevel"/>
    <w:tmpl w:val="C6F436BA"/>
    <w:lvl w:ilvl="0" w:tplc="E0407E90">
      <w:start w:val="1"/>
      <w:numFmt w:val="decimal"/>
      <w:lvlText w:val="%1)"/>
      <w:lvlJc w:val="left"/>
      <w:pPr>
        <w:ind w:left="1429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88"/>
    <w:rsid w:val="00002F47"/>
    <w:rsid w:val="000136A7"/>
    <w:rsid w:val="000143A0"/>
    <w:rsid w:val="00020C14"/>
    <w:rsid w:val="0004121A"/>
    <w:rsid w:val="00047DDC"/>
    <w:rsid w:val="00052DD5"/>
    <w:rsid w:val="000603CA"/>
    <w:rsid w:val="00063296"/>
    <w:rsid w:val="00063EAC"/>
    <w:rsid w:val="000856A6"/>
    <w:rsid w:val="00094840"/>
    <w:rsid w:val="000B5239"/>
    <w:rsid w:val="000C1FB0"/>
    <w:rsid w:val="000C7E0C"/>
    <w:rsid w:val="000D37E5"/>
    <w:rsid w:val="000F14A4"/>
    <w:rsid w:val="000F5F24"/>
    <w:rsid w:val="00103195"/>
    <w:rsid w:val="0011356F"/>
    <w:rsid w:val="0013371B"/>
    <w:rsid w:val="00133C97"/>
    <w:rsid w:val="0013622A"/>
    <w:rsid w:val="001577BE"/>
    <w:rsid w:val="0017128F"/>
    <w:rsid w:val="00184DC4"/>
    <w:rsid w:val="001860DE"/>
    <w:rsid w:val="001A6778"/>
    <w:rsid w:val="001B148C"/>
    <w:rsid w:val="001B62FD"/>
    <w:rsid w:val="001E6850"/>
    <w:rsid w:val="001E6906"/>
    <w:rsid w:val="001E7B5C"/>
    <w:rsid w:val="001F39D0"/>
    <w:rsid w:val="001F7B9D"/>
    <w:rsid w:val="002049CD"/>
    <w:rsid w:val="00212765"/>
    <w:rsid w:val="00216E3A"/>
    <w:rsid w:val="002356A9"/>
    <w:rsid w:val="00235A1F"/>
    <w:rsid w:val="00237026"/>
    <w:rsid w:val="00237CF8"/>
    <w:rsid w:val="00241F0C"/>
    <w:rsid w:val="0025261E"/>
    <w:rsid w:val="00252741"/>
    <w:rsid w:val="00254995"/>
    <w:rsid w:val="00260286"/>
    <w:rsid w:val="0027154E"/>
    <w:rsid w:val="002767AF"/>
    <w:rsid w:val="00297D7A"/>
    <w:rsid w:val="002C32A3"/>
    <w:rsid w:val="002C5188"/>
    <w:rsid w:val="002D4426"/>
    <w:rsid w:val="002D4851"/>
    <w:rsid w:val="002D5477"/>
    <w:rsid w:val="002D7657"/>
    <w:rsid w:val="002E167C"/>
    <w:rsid w:val="002F6B8A"/>
    <w:rsid w:val="00322C99"/>
    <w:rsid w:val="00330015"/>
    <w:rsid w:val="00330CD6"/>
    <w:rsid w:val="003448AA"/>
    <w:rsid w:val="003565A5"/>
    <w:rsid w:val="003565C3"/>
    <w:rsid w:val="00356E3A"/>
    <w:rsid w:val="00366FFC"/>
    <w:rsid w:val="003751BC"/>
    <w:rsid w:val="003A3DA2"/>
    <w:rsid w:val="003A3DE1"/>
    <w:rsid w:val="003A3EE5"/>
    <w:rsid w:val="003A4977"/>
    <w:rsid w:val="003A6D3F"/>
    <w:rsid w:val="003B3021"/>
    <w:rsid w:val="003B33B6"/>
    <w:rsid w:val="003C0B28"/>
    <w:rsid w:val="003C37AE"/>
    <w:rsid w:val="003C68C7"/>
    <w:rsid w:val="003D4728"/>
    <w:rsid w:val="003E2478"/>
    <w:rsid w:val="003E3014"/>
    <w:rsid w:val="003E5795"/>
    <w:rsid w:val="003F090B"/>
    <w:rsid w:val="003F74A3"/>
    <w:rsid w:val="003F7587"/>
    <w:rsid w:val="00401332"/>
    <w:rsid w:val="00402A00"/>
    <w:rsid w:val="00404E56"/>
    <w:rsid w:val="0040666A"/>
    <w:rsid w:val="004068AE"/>
    <w:rsid w:val="004135DF"/>
    <w:rsid w:val="00413B6F"/>
    <w:rsid w:val="004161A9"/>
    <w:rsid w:val="004234FA"/>
    <w:rsid w:val="00431E65"/>
    <w:rsid w:val="00432C47"/>
    <w:rsid w:val="00433FF9"/>
    <w:rsid w:val="0044422C"/>
    <w:rsid w:val="00470EAD"/>
    <w:rsid w:val="0048576D"/>
    <w:rsid w:val="00497141"/>
    <w:rsid w:val="004A225C"/>
    <w:rsid w:val="004B468C"/>
    <w:rsid w:val="004B662C"/>
    <w:rsid w:val="004B6EE4"/>
    <w:rsid w:val="004E1B57"/>
    <w:rsid w:val="004E3AC8"/>
    <w:rsid w:val="004E50B5"/>
    <w:rsid w:val="004F41F1"/>
    <w:rsid w:val="005107DB"/>
    <w:rsid w:val="00514319"/>
    <w:rsid w:val="00524ACF"/>
    <w:rsid w:val="00525585"/>
    <w:rsid w:val="00530296"/>
    <w:rsid w:val="00532413"/>
    <w:rsid w:val="00537043"/>
    <w:rsid w:val="00545839"/>
    <w:rsid w:val="00552D1D"/>
    <w:rsid w:val="00565FC4"/>
    <w:rsid w:val="005A0A9A"/>
    <w:rsid w:val="005A3C91"/>
    <w:rsid w:val="005B72F3"/>
    <w:rsid w:val="005C17E7"/>
    <w:rsid w:val="005E23D4"/>
    <w:rsid w:val="005F1F7C"/>
    <w:rsid w:val="00614F9B"/>
    <w:rsid w:val="006351E6"/>
    <w:rsid w:val="00654C08"/>
    <w:rsid w:val="006611C9"/>
    <w:rsid w:val="006641FD"/>
    <w:rsid w:val="00667821"/>
    <w:rsid w:val="00683BC8"/>
    <w:rsid w:val="00692B40"/>
    <w:rsid w:val="006B1FF4"/>
    <w:rsid w:val="006B2964"/>
    <w:rsid w:val="006C05BE"/>
    <w:rsid w:val="006D287D"/>
    <w:rsid w:val="006E3064"/>
    <w:rsid w:val="006E507D"/>
    <w:rsid w:val="006E6918"/>
    <w:rsid w:val="006F2966"/>
    <w:rsid w:val="006F3964"/>
    <w:rsid w:val="006F7119"/>
    <w:rsid w:val="00715A61"/>
    <w:rsid w:val="00716686"/>
    <w:rsid w:val="007225E4"/>
    <w:rsid w:val="00723B78"/>
    <w:rsid w:val="007354B1"/>
    <w:rsid w:val="0076193F"/>
    <w:rsid w:val="00775127"/>
    <w:rsid w:val="007808A5"/>
    <w:rsid w:val="00782899"/>
    <w:rsid w:val="00784117"/>
    <w:rsid w:val="00794C94"/>
    <w:rsid w:val="00796331"/>
    <w:rsid w:val="00796E3D"/>
    <w:rsid w:val="007C45FC"/>
    <w:rsid w:val="007D71D0"/>
    <w:rsid w:val="00803C95"/>
    <w:rsid w:val="00813E31"/>
    <w:rsid w:val="00816135"/>
    <w:rsid w:val="00820477"/>
    <w:rsid w:val="00831F1C"/>
    <w:rsid w:val="00834657"/>
    <w:rsid w:val="00843F50"/>
    <w:rsid w:val="0086258B"/>
    <w:rsid w:val="008754D8"/>
    <w:rsid w:val="008756C8"/>
    <w:rsid w:val="00876424"/>
    <w:rsid w:val="00886891"/>
    <w:rsid w:val="00887E66"/>
    <w:rsid w:val="008B6977"/>
    <w:rsid w:val="008C6ED4"/>
    <w:rsid w:val="008E1D7E"/>
    <w:rsid w:val="008F7111"/>
    <w:rsid w:val="00906968"/>
    <w:rsid w:val="00914521"/>
    <w:rsid w:val="009155E8"/>
    <w:rsid w:val="00916709"/>
    <w:rsid w:val="00916B34"/>
    <w:rsid w:val="00922F1C"/>
    <w:rsid w:val="00923223"/>
    <w:rsid w:val="00924EA3"/>
    <w:rsid w:val="00926512"/>
    <w:rsid w:val="009375EB"/>
    <w:rsid w:val="0095114A"/>
    <w:rsid w:val="00952250"/>
    <w:rsid w:val="009564F4"/>
    <w:rsid w:val="00962274"/>
    <w:rsid w:val="00962CD8"/>
    <w:rsid w:val="0097554B"/>
    <w:rsid w:val="009A03DB"/>
    <w:rsid w:val="009A2E6F"/>
    <w:rsid w:val="009B5D6D"/>
    <w:rsid w:val="009B60E7"/>
    <w:rsid w:val="009C1746"/>
    <w:rsid w:val="009C3308"/>
    <w:rsid w:val="009D63CD"/>
    <w:rsid w:val="009F419C"/>
    <w:rsid w:val="00A32572"/>
    <w:rsid w:val="00A3506F"/>
    <w:rsid w:val="00A55751"/>
    <w:rsid w:val="00A56F72"/>
    <w:rsid w:val="00A5738A"/>
    <w:rsid w:val="00A6462F"/>
    <w:rsid w:val="00A65DB7"/>
    <w:rsid w:val="00A74004"/>
    <w:rsid w:val="00A95A04"/>
    <w:rsid w:val="00AA2F8B"/>
    <w:rsid w:val="00AA6ABF"/>
    <w:rsid w:val="00AB42FE"/>
    <w:rsid w:val="00AC6E15"/>
    <w:rsid w:val="00AF3B9C"/>
    <w:rsid w:val="00B14296"/>
    <w:rsid w:val="00B27924"/>
    <w:rsid w:val="00B325F8"/>
    <w:rsid w:val="00B37C6D"/>
    <w:rsid w:val="00B413B4"/>
    <w:rsid w:val="00B46DC4"/>
    <w:rsid w:val="00B527E2"/>
    <w:rsid w:val="00B56822"/>
    <w:rsid w:val="00B62C23"/>
    <w:rsid w:val="00B63863"/>
    <w:rsid w:val="00B71FC3"/>
    <w:rsid w:val="00B77DE0"/>
    <w:rsid w:val="00B84751"/>
    <w:rsid w:val="00B858A4"/>
    <w:rsid w:val="00B861E1"/>
    <w:rsid w:val="00B907C5"/>
    <w:rsid w:val="00BC2F73"/>
    <w:rsid w:val="00BD1E99"/>
    <w:rsid w:val="00BD288D"/>
    <w:rsid w:val="00BD6EB2"/>
    <w:rsid w:val="00BE5F8E"/>
    <w:rsid w:val="00BF4221"/>
    <w:rsid w:val="00C239AE"/>
    <w:rsid w:val="00C3075E"/>
    <w:rsid w:val="00C50BA4"/>
    <w:rsid w:val="00C61D43"/>
    <w:rsid w:val="00C8572A"/>
    <w:rsid w:val="00CA4EB7"/>
    <w:rsid w:val="00CB5787"/>
    <w:rsid w:val="00CC167C"/>
    <w:rsid w:val="00CD0F99"/>
    <w:rsid w:val="00CD19DF"/>
    <w:rsid w:val="00CE35E1"/>
    <w:rsid w:val="00CF083E"/>
    <w:rsid w:val="00D25C16"/>
    <w:rsid w:val="00D27FC3"/>
    <w:rsid w:val="00D34A7D"/>
    <w:rsid w:val="00D40B85"/>
    <w:rsid w:val="00D54C02"/>
    <w:rsid w:val="00D81152"/>
    <w:rsid w:val="00D82A11"/>
    <w:rsid w:val="00DA08A4"/>
    <w:rsid w:val="00DB3EE8"/>
    <w:rsid w:val="00DB5B14"/>
    <w:rsid w:val="00DB6D53"/>
    <w:rsid w:val="00DC3504"/>
    <w:rsid w:val="00DD1C50"/>
    <w:rsid w:val="00DE2C18"/>
    <w:rsid w:val="00DE31D5"/>
    <w:rsid w:val="00E07FBB"/>
    <w:rsid w:val="00E10C3C"/>
    <w:rsid w:val="00E34E56"/>
    <w:rsid w:val="00E377AD"/>
    <w:rsid w:val="00E53228"/>
    <w:rsid w:val="00E650EC"/>
    <w:rsid w:val="00E7199F"/>
    <w:rsid w:val="00E82807"/>
    <w:rsid w:val="00E85CE0"/>
    <w:rsid w:val="00E97D52"/>
    <w:rsid w:val="00EB7F86"/>
    <w:rsid w:val="00EC211A"/>
    <w:rsid w:val="00EE0C97"/>
    <w:rsid w:val="00EF4FCC"/>
    <w:rsid w:val="00F02265"/>
    <w:rsid w:val="00F075FD"/>
    <w:rsid w:val="00F12910"/>
    <w:rsid w:val="00F37368"/>
    <w:rsid w:val="00F40BCB"/>
    <w:rsid w:val="00F43648"/>
    <w:rsid w:val="00F530BF"/>
    <w:rsid w:val="00F57A7F"/>
    <w:rsid w:val="00F60B76"/>
    <w:rsid w:val="00F72F8F"/>
    <w:rsid w:val="00F91B9E"/>
    <w:rsid w:val="00F939C7"/>
    <w:rsid w:val="00FB0E01"/>
    <w:rsid w:val="00FC0777"/>
    <w:rsid w:val="00FC07E7"/>
    <w:rsid w:val="00FD36E6"/>
    <w:rsid w:val="00FE6188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styleId="a8">
    <w:name w:val="endnote text"/>
    <w:basedOn w:val="a"/>
    <w:link w:val="a9"/>
    <w:uiPriority w:val="99"/>
    <w:semiHidden/>
    <w:unhideWhenUsed/>
    <w:rsid w:val="00B1429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1429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1429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4E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3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styleId="a8">
    <w:name w:val="endnote text"/>
    <w:basedOn w:val="a"/>
    <w:link w:val="a9"/>
    <w:uiPriority w:val="99"/>
    <w:semiHidden/>
    <w:unhideWhenUsed/>
    <w:rsid w:val="00B14296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14296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1429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4E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3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01A38-1782-4A6C-9C5F-4CCE3423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2812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4</cp:revision>
  <cp:lastPrinted>2022-11-15T08:23:00Z</cp:lastPrinted>
  <dcterms:created xsi:type="dcterms:W3CDTF">2022-11-30T13:36:00Z</dcterms:created>
  <dcterms:modified xsi:type="dcterms:W3CDTF">2022-12-01T09:10:00Z</dcterms:modified>
</cp:coreProperties>
</file>